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60"/>
        <w:jc w:val="right"/>
        <w:tabs>
          <w:tab w:val="left" w:pos="468" w:leader="none"/>
          <w:tab w:val="left" w:pos="1686" w:leader="none"/>
          <w:tab w:val="left" w:pos="3158" w:leader="none"/>
          <w:tab w:val="left" w:pos="4120" w:leader="none"/>
          <w:tab w:val="left" w:pos="5592" w:leader="none"/>
          <w:tab w:val="left" w:pos="6817" w:leader="none"/>
          <w:tab w:val="left" w:pos="8021" w:leader="none"/>
        </w:tabs>
        <w:rPr>
          <w:sz w:val="28"/>
          <w:szCs w:val="28"/>
        </w:rPr>
      </w:pPr>
      <w:r>
        <w:rPr>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0609663" behindDoc="1" locked="0" layoutInCell="1" allowOverlap="1">
                <wp:simplePos x="0" y="0"/>
                <wp:positionH relativeFrom="margin">
                  <wp:posOffset>-8889</wp:posOffset>
                </wp:positionH>
                <wp:positionV relativeFrom="paragraph">
                  <wp:posOffset>238760</wp:posOffset>
                </wp:positionV>
                <wp:extent cx="2780665" cy="970915"/>
                <wp:effectExtent l="0" t="0" r="0" b="0"/>
                <wp:wrapTight wrapText="bothSides">
                  <wp:wrapPolygon edited="1">
                    <wp:start x="3074" y="0"/>
                    <wp:lineTo x="854" y="3926"/>
                    <wp:lineTo x="256" y="4173"/>
                    <wp:lineTo x="-85" y="5645"/>
                    <wp:lineTo x="-85" y="9573"/>
                    <wp:lineTo x="256" y="12518"/>
                    <wp:lineTo x="2049" y="15709"/>
                    <wp:lineTo x="2391" y="15709"/>
                    <wp:lineTo x="1964" y="19636"/>
                    <wp:lineTo x="1964" y="19882"/>
                    <wp:lineTo x="2903" y="21355"/>
                    <wp:lineTo x="3074" y="21355"/>
                    <wp:lineTo x="3671" y="21355"/>
                    <wp:lineTo x="3842" y="21355"/>
                    <wp:lineTo x="4781" y="19882"/>
                    <wp:lineTo x="16648" y="19636"/>
                    <wp:lineTo x="17929" y="19145"/>
                    <wp:lineTo x="17587" y="15709"/>
                    <wp:lineTo x="20405" y="13991"/>
                    <wp:lineTo x="20234" y="12027"/>
                    <wp:lineTo x="21600" y="11291"/>
                    <wp:lineTo x="21600" y="9082"/>
                    <wp:lineTo x="15709" y="7855"/>
                    <wp:lineTo x="16477" y="6382"/>
                    <wp:lineTo x="16136" y="4418"/>
                    <wp:lineTo x="8452" y="3926"/>
                    <wp:lineTo x="3671" y="0"/>
                    <wp:lineTo x="3074" y="0"/>
                  </wp:wrapPolygon>
                </wp:wrapTight>
                <wp:docPr id="1" name="_x0000_s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
                        <a:stretch/>
                      </pic:blipFill>
                      <pic:spPr bwMode="auto">
                        <a:xfrm>
                          <a:off x="0" y="0"/>
                          <a:ext cx="2780665" cy="97091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0609663;o:allowoverlap:true;o:allowincell:true;mso-position-horizontal-relative:margin;margin-left:-0.70pt;mso-position-horizontal:absolute;mso-position-vertical-relative:text;margin-top:18.80pt;mso-position-vertical:absolute;width:218.95pt;height:76.45pt;mso-wrap-distance-left:9.00pt;mso-wrap-distance-top:0.00pt;mso-wrap-distance-right:9.00pt;mso-wrap-distance-bottom:0.00pt;" wrapcoords="14231 0 3954 18176 1185 19319 -393 26134 -393 44319 1185 57954 9486 72727 11069 72727 9093 90907 9093 92046 13440 98866 14231 98866 16995 98866 17787 98866 22134 92046 77074 90907 83005 88634 81421 72727 94468 64773 93676 55681 100000 52273 100000 42046 72727 36366 76282 29546 74704 20454 39130 18176 16995 0 14231 0" stroked="f">
                <v:path textboxrect="0,0,0,0"/>
                <w10:wrap type="tight"/>
                <v:imagedata r:id="rId13" o:title=""/>
              </v:shape>
            </w:pict>
          </mc:Fallback>
        </mc:AlternateContent>
      </w:r>
      <w:r>
        <w:rPr>
          <w:sz w:val="28"/>
          <w:szCs w:val="28"/>
        </w:rPr>
        <w:fldChar w:fldCharType="begin"/>
      </w:r>
      <w:r>
        <w:rPr>
          <w:sz w:val="28"/>
          <w:szCs w:val="28"/>
        </w:rPr>
        <w:instrText xml:space="preserve"> HYPERLINK "javascript:void(0);" </w:instrText>
      </w:r>
      <w:r>
        <w:rPr>
          <w:sz w:val="28"/>
          <w:szCs w:val="28"/>
        </w:rPr>
        <w:fldChar w:fldCharType="separate"/>
      </w:r>
      <w:r>
        <w:rPr>
          <w:rFonts w:ascii="Arial" w:hAnsi="Arial" w:cs="Arial"/>
          <w:color w:val="2e4ea4"/>
          <w:sz w:val="28"/>
          <w:szCs w:val="28"/>
        </w:rPr>
        <w:br w:type="textWrapping" w:clear="all"/>
      </w:r>
      <w:r>
        <w:rPr>
          <w:rFonts w:ascii="Arial" w:hAnsi="Arial" w:cs="Arial"/>
          <w:color w:val="2e4ea4"/>
          <w:sz w:val="28"/>
          <w:szCs w:val="28"/>
        </w:rPr>
        <mc:AlternateContent>
          <mc:Choice Requires="wpg">
            <w:drawing>
              <wp:inline xmlns:wp="http://schemas.openxmlformats.org/drawingml/2006/wordprocessingDrawing" distT="0" distB="0" distL="0" distR="0">
                <wp:extent cx="713083" cy="920079"/>
                <wp:effectExtent l="0" t="0" r="0" b="0"/>
                <wp:docPr id="2" name="_x0000_i10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
                        <a:stretch/>
                      </pic:blipFill>
                      <pic:spPr bwMode="auto">
                        <a:xfrm>
                          <a:off x="0" y="0"/>
                          <a:ext cx="713083" cy="92007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56.15pt;height:72.45pt;mso-wrap-distance-left:0.00pt;mso-wrap-distance-top:0.00pt;mso-wrap-distance-right:0.00pt;mso-wrap-distance-bottom:0.00pt;" stroked="f">
                <v:path textboxrect="0,0,0,0"/>
                <v:imagedata r:id="rId14" o:title=""/>
              </v:shape>
            </w:pict>
          </mc:Fallback>
        </mc:AlternateContent>
        <w:fldChar w:fldCharType="begin"/>
      </w:r>
      <w:r>
        <w:rPr>
          <w:rFonts w:ascii="Arial" w:hAnsi="Arial" w:cs="Arial"/>
          <w:color w:val="2e4ea4"/>
          <w:sz w:val="28"/>
          <w:szCs w:val="28"/>
        </w:rPr>
        <w:instrText xml:space="preserve"> INCLUDEPICTURE "https://cdn.er.ru/media/userdata/symbols/2020/03/27/41056c3d0401610794b3710902555e1c.png" \* MERGEFORMATINET </w:instrText>
      </w:r>
      <w:r>
        <w:rPr>
          <w:rFonts w:ascii="Arial" w:hAnsi="Arial" w:cs="Arial"/>
          <w:color w:val="2e4ea4"/>
          <w:sz w:val="28"/>
          <w:szCs w:val="28"/>
        </w:rPr>
        <w:fldChar w:fldCharType="separate"/>
      </w:r>
      <w:r>
        <w:rPr>
          <w:rFonts w:ascii="Arial" w:hAnsi="Arial" w:cs="Arial"/>
          <w:color w:val="2e4ea4"/>
          <w:sz w:val="28"/>
          <w:szCs w:val="28"/>
        </w:rPr>
        <mc:AlternateContent>
          <mc:Choice Requires="wpg">
            <w:drawing>
              <wp:inline xmlns:wp="http://schemas.openxmlformats.org/drawingml/2006/wordprocessingDrawing" distT="0" distB="0" distL="0" distR="0">
                <wp:extent cx="710580" cy="984890"/>
                <wp:effectExtent l="0" t="0" r="0" b="0"/>
                <wp:docPr id="3" name="_x0000_i10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stretch/>
                      </pic:blipFill>
                      <pic:spPr bwMode="auto">
                        <a:xfrm>
                          <a:off x="0" y="0"/>
                          <a:ext cx="710580" cy="9848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55.95pt;height:77.55pt;mso-wrap-distance-left:0.00pt;mso-wrap-distance-top:0.00pt;mso-wrap-distance-right:0.00pt;mso-wrap-distance-bottom:0.00pt;" stroked="f">
                <v:path textboxrect="0,0,0,0"/>
                <v:imagedata r:id="rId15" o:title=""/>
              </v:shape>
            </w:pict>
          </mc:Fallback>
        </mc:AlternateContent>
      </w:r>
      <w:r>
        <w:rPr>
          <w:rFonts w:ascii="Arial" w:hAnsi="Arial" w:cs="Arial"/>
          <w:color w:val="2e4ea4"/>
          <w:sz w:val="28"/>
          <w:szCs w:val="28"/>
        </w:rPr>
        <w:fldChar w:fldCharType="end"/>
      </w:r>
      <w:r>
        <w:rPr>
          <w:sz w:val="28"/>
          <w:szCs w:val="28"/>
        </w:rPr>
        <w:fldChar w:fldCharType="end"/>
        <w:fldChar w:fldCharType="begin"/>
      </w:r>
      <w:r>
        <w:rPr>
          <w:sz w:val="28"/>
          <w:szCs w:val="28"/>
        </w:rPr>
        <w:instrText xml:space="preserve"> HYPERLINK "javascript:void(0);" </w:instrText>
      </w:r>
      <w:r>
        <w:rPr>
          <w:sz w:val="28"/>
          <w:szCs w:val="28"/>
        </w:rPr>
        <w:fldChar w:fldCharType="separate"/>
      </w:r>
      <w:r>
        <w:rPr>
          <w:rFonts w:ascii="Arial" w:hAnsi="Arial" w:cs="Arial"/>
          <w:color w:val="2e4ea4"/>
          <w:sz w:val="28"/>
          <w:szCs w:val="28"/>
        </w:rPr>
        <w:br w:type="textWrapping" w:clear="all"/>
      </w:r>
      <w:r>
        <w:rPr>
          <w:sz w:val="28"/>
          <w:szCs w:val="28"/>
        </w:rPr>
        <w:fldChar w:fldCharType="end"/>
      </w:r>
      <w:r>
        <w:rPr>
          <w:sz w:val="28"/>
          <w:szCs w:val="28"/>
        </w:rPr>
      </w:r>
      <w:r>
        <w:rPr>
          <w:sz w:val="28"/>
          <w:szCs w:val="28"/>
        </w:rPr>
      </w:r>
    </w:p>
    <w:p>
      <w:pPr>
        <w:pStyle w:val="660"/>
        <w:ind w:right="142"/>
        <w:jc w:val="right"/>
        <w:tabs>
          <w:tab w:val="left" w:pos="468" w:leader="none"/>
          <w:tab w:val="left" w:pos="1686" w:leader="none"/>
          <w:tab w:val="left" w:pos="3158" w:leader="none"/>
          <w:tab w:val="left" w:pos="4120" w:leader="none"/>
          <w:tab w:val="left" w:pos="5592" w:leader="none"/>
          <w:tab w:val="left" w:pos="6817" w:leader="none"/>
          <w:tab w:val="left" w:pos="8021" w:leader="none"/>
        </w:tabs>
        <w:rPr>
          <w:rStyle w:val="738"/>
          <w:b/>
          <w:bCs/>
          <w:sz w:val="28"/>
          <w:szCs w:val="28"/>
        </w:rPr>
      </w:pPr>
      <w:r>
        <w:rPr>
          <w:rStyle w:val="738"/>
          <w:b/>
          <w:bCs/>
          <w:sz w:val="28"/>
          <w:szCs w:val="28"/>
        </w:rPr>
      </w:r>
      <w:r>
        <w:rPr>
          <w:rStyle w:val="738"/>
          <w:b/>
          <w:bCs/>
          <w:sz w:val="28"/>
          <w:szCs w:val="28"/>
        </w:rPr>
      </w:r>
    </w:p>
    <w:p>
      <w:pPr>
        <w:pStyle w:val="660"/>
        <w:ind w:right="142"/>
        <w:jc w:val="right"/>
        <w:tabs>
          <w:tab w:val="left" w:pos="468" w:leader="none"/>
          <w:tab w:val="left" w:pos="1686" w:leader="none"/>
          <w:tab w:val="left" w:pos="3158" w:leader="none"/>
          <w:tab w:val="left" w:pos="4120" w:leader="none"/>
          <w:tab w:val="left" w:pos="5592" w:leader="none"/>
          <w:tab w:val="left" w:pos="6817" w:leader="none"/>
          <w:tab w:val="left" w:pos="8021" w:leader="none"/>
        </w:tabs>
        <w:rPr>
          <w:rStyle w:val="738"/>
          <w:b/>
          <w:bCs/>
          <w:sz w:val="28"/>
          <w:szCs w:val="28"/>
        </w:rPr>
      </w:pPr>
      <w:r>
        <w:rPr>
          <w:rStyle w:val="738"/>
          <w:b/>
          <w:bCs/>
          <w:sz w:val="28"/>
          <w:szCs w:val="28"/>
        </w:rPr>
        <w:t xml:space="preserve">03</w:t>
      </w:r>
      <w:r>
        <w:rPr>
          <w:rStyle w:val="738"/>
          <w:b/>
          <w:bCs/>
          <w:sz w:val="28"/>
          <w:szCs w:val="28"/>
        </w:rPr>
        <w:t xml:space="preserve">.0</w:t>
      </w:r>
      <w:r>
        <w:rPr>
          <w:rStyle w:val="738"/>
          <w:b/>
          <w:bCs/>
          <w:sz w:val="28"/>
          <w:szCs w:val="28"/>
        </w:rPr>
        <w:t xml:space="preserve">8</w:t>
      </w:r>
      <w:r>
        <w:rPr>
          <w:rStyle w:val="738"/>
          <w:b/>
          <w:bCs/>
          <w:sz w:val="28"/>
          <w:szCs w:val="28"/>
        </w:rPr>
        <w:t xml:space="preserve">.2026</w:t>
      </w:r>
      <w:r>
        <w:rPr>
          <w:rStyle w:val="738"/>
          <w:b/>
          <w:bCs/>
          <w:sz w:val="28"/>
          <w:szCs w:val="28"/>
        </w:rPr>
      </w:r>
    </w:p>
    <w:p>
      <w:pPr>
        <w:pStyle w:val="660"/>
        <w:ind w:firstLine="709"/>
        <w:jc w:val="center"/>
        <w:tabs>
          <w:tab w:val="left" w:pos="4830" w:leader="none"/>
        </w:tabs>
        <w:rPr>
          <w:rStyle w:val="738"/>
          <w:b/>
          <w:bCs/>
          <w:color w:val="0070c0"/>
          <w:sz w:val="26"/>
          <w:szCs w:val="26"/>
          <w:shd w:val="clear" w:color="auto" w:fill="ffffff"/>
        </w:rPr>
      </w:pPr>
      <w:r>
        <w:rPr>
          <w:rStyle w:val="738"/>
          <w:b/>
          <w:bCs/>
          <w:color w:val="0070c0"/>
          <w:sz w:val="26"/>
          <w:szCs w:val="26"/>
          <w:shd w:val="clear" w:color="auto" w:fill="ffffff"/>
        </w:rPr>
        <w:t xml:space="preserve">Действие «гаражной амнистии» продлено до 2031 года</w:t>
      </w:r>
      <w:r>
        <w:rPr>
          <w:rStyle w:val="738"/>
          <w:b/>
          <w:bCs/>
          <w:color w:val="0070c0"/>
          <w:sz w:val="26"/>
          <w:szCs w:val="26"/>
          <w:shd w:val="clear" w:color="auto" w:fill="ffffff"/>
        </w:rPr>
      </w:r>
    </w:p>
    <w:p>
      <w:pPr>
        <w:pStyle w:val="660"/>
        <w:ind w:firstLine="709"/>
        <w:jc w:val="both"/>
        <w:tabs>
          <w:tab w:val="left" w:pos="4830" w:leader="none"/>
        </w:tabs>
        <w:rPr>
          <w:rStyle w:val="738"/>
          <w:bCs/>
          <w:sz w:val="26"/>
          <w:szCs w:val="26"/>
          <w:shd w:val="clear" w:color="auto" w:fill="ffffff"/>
        </w:rPr>
      </w:pPr>
      <w:r>
        <w:rPr>
          <w:rStyle w:val="738"/>
          <w:bCs/>
          <w:sz w:val="26"/>
          <w:szCs w:val="26"/>
          <w:shd w:val="clear" w:color="auto" w:fill="ffffff"/>
        </w:rPr>
      </w:r>
      <w:r>
        <w:rPr>
          <w:rStyle w:val="738"/>
          <w:bCs/>
          <w:sz w:val="26"/>
          <w:szCs w:val="26"/>
          <w:shd w:val="clear" w:color="auto" w:fill="ffffff"/>
        </w:rPr>
      </w:r>
    </w:p>
    <w:p>
      <w:pPr>
        <w:pStyle w:val="660"/>
        <w:jc w:val="both"/>
        <w:spacing w:after="160" w:line="259" w:lineRule="auto"/>
        <w:rPr>
          <w:rFonts w:eastAsia="Calibri"/>
          <w:sz w:val="26"/>
          <w:szCs w:val="26"/>
          <w:lang w:eastAsia="en-US"/>
        </w:rPr>
      </w:pPr>
      <w:r>
        <w:rPr>
          <w:rFonts w:eastAsia="Calibri"/>
          <w:b/>
          <w:bCs/>
          <w:color w:val="060708"/>
          <w:sz w:val="26"/>
          <w:szCs w:val="26"/>
          <w:shd w:val="clear" w:color="auto" w:fill="ffffff"/>
          <w:lang w:eastAsia="en-US"/>
        </w:rPr>
        <w:t xml:space="preserve">У южноуральцев будет дополнительное время на </w:t>
      </w:r>
      <w:r>
        <w:rPr>
          <w:rFonts w:eastAsia="Calibri"/>
          <w:b/>
          <w:bCs/>
          <w:color w:val="060708"/>
          <w:sz w:val="26"/>
          <w:szCs w:val="26"/>
          <w:shd w:val="clear" w:color="auto" w:fill="ffffff"/>
          <w:lang w:eastAsia="en-US"/>
        </w:rPr>
        <w:t xml:space="preserve">оформление</w:t>
      </w:r>
      <w:r>
        <w:rPr>
          <w:rFonts w:eastAsia="Calibri"/>
          <w:b/>
          <w:bCs/>
          <w:color w:val="060708"/>
          <w:sz w:val="26"/>
          <w:szCs w:val="26"/>
          <w:shd w:val="clear" w:color="auto" w:fill="ffffff"/>
          <w:lang w:eastAsia="en-US"/>
        </w:rPr>
        <w:t xml:space="preserve"> в собственность гаражей в упрощенном порядке. В конце июля 2026 года Госдума РФ приняла в окончательном третьем чтении закон о продлении «гаражной амнистии» на пять лет - до 1 сентября 2031 </w:t>
      </w:r>
      <w:r>
        <w:rPr>
          <w:rFonts w:eastAsia="Calibri"/>
          <w:b/>
          <w:color w:val="060708"/>
          <w:sz w:val="26"/>
          <w:szCs w:val="26"/>
          <w:shd w:val="clear" w:color="auto" w:fill="ffffff"/>
          <w:lang w:eastAsia="en-US"/>
        </w:rPr>
        <w:t xml:space="preserve">года</w:t>
      </w:r>
      <w:r>
        <w:rPr>
          <w:rFonts w:eastAsia="Calibri"/>
          <w:color w:val="060708"/>
          <w:sz w:val="26"/>
          <w:szCs w:val="26"/>
          <w:shd w:val="clear" w:color="auto" w:fill="ffffff"/>
          <w:lang w:eastAsia="en-US"/>
        </w:rPr>
        <w:t xml:space="preserve">.</w:t>
      </w:r>
      <w:r>
        <w:rPr>
          <w:rFonts w:eastAsia="Calibri"/>
          <w:sz w:val="26"/>
          <w:szCs w:val="26"/>
          <w:lang w:eastAsia="en-US"/>
        </w:rPr>
        <w:t xml:space="preserve"> </w:t>
      </w:r>
      <w:r>
        <w:rPr>
          <w:rFonts w:eastAsia="Calibri"/>
          <w:sz w:val="26"/>
          <w:szCs w:val="26"/>
          <w:lang w:eastAsia="en-US"/>
        </w:rPr>
      </w:r>
    </w:p>
    <w:p>
      <w:pPr>
        <w:pStyle w:val="660"/>
        <w:ind w:firstLine="709"/>
        <w:jc w:val="both"/>
        <w:spacing w:after="160" w:line="259" w:lineRule="auto"/>
        <w:rPr>
          <w:rFonts w:eastAsia="Calibri"/>
          <w:sz w:val="26"/>
          <w:szCs w:val="26"/>
          <w:lang w:eastAsia="en-US"/>
        </w:rPr>
      </w:pPr>
      <w:r>
        <w:rPr>
          <w:rFonts w:eastAsia="Calibri"/>
          <w:color w:val="060708"/>
          <w:sz w:val="26"/>
          <w:szCs w:val="26"/>
          <w:shd w:val="clear" w:color="auto" w:fill="ffffff"/>
          <w:lang w:eastAsia="en-US"/>
        </w:rPr>
        <w:t xml:space="preserve">Закон о так называемой «гаражной амнистии» имеет социальную направленность. Действующий упрощенный порядок помогает людям бесплатно оформить права на такие объекты недвижимого имущества, как</w:t>
      </w:r>
      <w:r>
        <w:rPr>
          <w:rFonts w:eastAsia="Calibri"/>
          <w:sz w:val="26"/>
          <w:szCs w:val="26"/>
          <w:lang w:eastAsia="en-US"/>
        </w:rPr>
        <w:t xml:space="preserve"> </w:t>
      </w:r>
      <w:r>
        <w:rPr>
          <w:rFonts w:eastAsia="Calibri"/>
          <w:color w:val="060708"/>
          <w:sz w:val="26"/>
          <w:szCs w:val="26"/>
          <w:shd w:val="clear" w:color="auto" w:fill="ffffff"/>
          <w:lang w:eastAsia="en-US"/>
        </w:rPr>
        <w:t xml:space="preserve">земельный участок и гараж.</w:t>
      </w:r>
      <w:r>
        <w:rPr>
          <w:rFonts w:eastAsia="Calibri"/>
          <w:sz w:val="26"/>
          <w:szCs w:val="26"/>
          <w:lang w:eastAsia="en-US"/>
        </w:rPr>
      </w:r>
      <w:r>
        <w:rPr>
          <w:rFonts w:eastAsia="Calibri"/>
          <w:sz w:val="26"/>
          <w:szCs w:val="26"/>
          <w:lang w:eastAsia="en-US"/>
        </w:rPr>
      </w:r>
    </w:p>
    <w:p>
      <w:pPr>
        <w:pStyle w:val="660"/>
        <w:ind w:firstLine="709"/>
        <w:jc w:val="both"/>
        <w:rPr>
          <w:color w:val="060708"/>
          <w:sz w:val="26"/>
          <w:szCs w:val="26"/>
          <w:shd w:val="clear" w:color="auto" w:fill="ffffff"/>
        </w:rPr>
      </w:pPr>
      <w:r>
        <w:rPr>
          <w:color w:val="060708"/>
          <w:sz w:val="26"/>
          <w:szCs w:val="26"/>
          <w:shd w:val="clear" w:color="auto" w:fill="ffffff"/>
        </w:rPr>
        <w:t xml:space="preserve">Изначально Федеральным законом № 79-ФЗ «О внесении изменений в отдельные законодательные акты Российской Федерации» (закон о так называемой «гаражной амнистии») был установлен пятилетний срок действия упрощенного порядка оформления - до 1 сентября 2</w:t>
      </w:r>
      <w:r>
        <w:rPr>
          <w:color w:val="060708"/>
          <w:sz w:val="26"/>
          <w:szCs w:val="26"/>
          <w:shd w:val="clear" w:color="auto" w:fill="ffffff"/>
        </w:rPr>
        <w:t xml:space="preserve">026 года. По инициативе депутатов партии «Единая Россия» действие «гаражной амнистии» было предложено продлить еще на 5 лет, до 1 сентября 2031 года, чтобы воспользоваться таким инструментом успели как можно больше россиян. Пролонгация сроков поможет оформ</w:t>
      </w:r>
      <w:r>
        <w:rPr>
          <w:color w:val="060708"/>
          <w:sz w:val="26"/>
          <w:szCs w:val="26"/>
          <w:shd w:val="clear" w:color="auto" w:fill="ffffff"/>
        </w:rPr>
        <w:t xml:space="preserve">ить такие бытовые объекты недвижимости тем, кто в силу различных причин не успел воспользоваться возможностями «гаражной амнистии». Это позволит гражданам не только легализовать свое имущество и законно им распоряжаться, но также избежать земельных споров.</w:t>
      </w:r>
      <w:r>
        <w:rPr>
          <w:color w:val="060708"/>
          <w:sz w:val="26"/>
          <w:szCs w:val="26"/>
          <w:shd w:val="clear" w:color="auto" w:fill="ffffff"/>
        </w:rPr>
      </w:r>
    </w:p>
    <w:p>
      <w:pPr>
        <w:pStyle w:val="660"/>
        <w:jc w:val="both"/>
        <w:spacing w:after="160" w:line="259" w:lineRule="auto"/>
        <w:rPr>
          <w:rFonts w:eastAsia="Calibri"/>
          <w:sz w:val="26"/>
          <w:szCs w:val="26"/>
          <w:lang w:eastAsia="en-US"/>
        </w:rPr>
      </w:pPr>
      <w:r>
        <w:rPr>
          <w:rFonts w:eastAsia="Calibri"/>
          <w:sz w:val="26"/>
          <w:szCs w:val="26"/>
          <w:lang w:eastAsia="en-US"/>
        </w:rPr>
        <w:t xml:space="preserve">______________________________________________</w:t>
      </w:r>
      <w:r>
        <w:rPr>
          <w:rFonts w:eastAsia="Calibri"/>
          <w:sz w:val="26"/>
          <w:szCs w:val="26"/>
          <w:lang w:eastAsia="en-US"/>
        </w:rPr>
      </w:r>
    </w:p>
    <w:p>
      <w:pPr>
        <w:pStyle w:val="660"/>
        <w:jc w:val="both"/>
        <w:rPr>
          <w:i/>
          <w:color w:val="060708"/>
          <w:sz w:val="26"/>
          <w:szCs w:val="26"/>
          <w:shd w:val="clear" w:color="auto" w:fill="ffffff"/>
        </w:rPr>
      </w:pPr>
      <w:r>
        <w:rPr>
          <w:b/>
          <w:color w:val="060708"/>
          <w:sz w:val="26"/>
          <w:szCs w:val="26"/>
          <w:shd w:val="clear" w:color="auto" w:fill="ffffff"/>
        </w:rPr>
        <w:t xml:space="preserve">В</w:t>
      </w:r>
      <w:r>
        <w:rPr>
          <w:b/>
          <w:color w:val="060708"/>
          <w:sz w:val="26"/>
          <w:szCs w:val="26"/>
          <w:shd w:val="clear" w:color="auto" w:fill="ffffff"/>
        </w:rPr>
        <w:t xml:space="preserve">ице-спикер ЗСО, депутат фракции «Единая Россия»</w:t>
      </w:r>
      <w:r>
        <w:rPr>
          <w:b/>
          <w:color w:val="060708"/>
          <w:sz w:val="26"/>
          <w:szCs w:val="26"/>
          <w:shd w:val="clear" w:color="auto" w:fill="ffffff"/>
        </w:rPr>
        <w:t xml:space="preserve"> </w:t>
      </w:r>
      <w:r>
        <w:rPr>
          <w:b/>
          <w:color w:val="060708"/>
          <w:sz w:val="26"/>
          <w:szCs w:val="26"/>
          <w:shd w:val="clear" w:color="auto" w:fill="ffffff"/>
        </w:rPr>
        <w:t xml:space="preserve">Евгения Илле:</w:t>
      </w:r>
      <w:r>
        <w:rPr>
          <w:i/>
          <w:color w:val="060708"/>
          <w:sz w:val="26"/>
          <w:szCs w:val="26"/>
          <w:shd w:val="clear" w:color="auto" w:fill="ffffff"/>
        </w:rPr>
        <w:t xml:space="preserve"> </w:t>
      </w:r>
      <w:r>
        <w:rPr>
          <w:i/>
          <w:color w:val="060708"/>
          <w:sz w:val="26"/>
          <w:szCs w:val="26"/>
          <w:shd w:val="clear" w:color="auto" w:fill="ffffff"/>
        </w:rPr>
        <w:t xml:space="preserve">«Недвижимое имущество для многих наших граждан имеет на</w:t>
      </w:r>
      <w:r>
        <w:rPr>
          <w:i/>
          <w:color w:val="060708"/>
          <w:sz w:val="26"/>
          <w:szCs w:val="26"/>
          <w:shd w:val="clear" w:color="auto" w:fill="ffffff"/>
        </w:rPr>
        <w:t xml:space="preserve">стоящую ценность. Сегодня есть люди, не успевшие обратиться за регистрацией прав на гаражи и землю под ними. Важно дать им возможность без спешки оформить свои права на гаражную недвижимость, чтобы они могли спокойно распоряжаться ею в дальнейшем. С предло</w:t>
      </w:r>
      <w:r>
        <w:rPr>
          <w:i/>
          <w:color w:val="060708"/>
          <w:sz w:val="26"/>
          <w:szCs w:val="26"/>
          <w:shd w:val="clear" w:color="auto" w:fill="ffffff"/>
        </w:rPr>
        <w:t xml:space="preserve">жением о продлении срока действия «гаражной амнистии» выступила партия «Единая Россия». В Госдуме поддержали продление упрощенного порядка еще на пять лет — до 2031 года. Решение принято с учетом высокой социальной значимости и востребованности механизма».</w:t>
      </w:r>
      <w:r>
        <w:rPr>
          <w:i/>
          <w:color w:val="060708"/>
          <w:sz w:val="26"/>
          <w:szCs w:val="26"/>
          <w:shd w:val="clear" w:color="auto" w:fill="ffffff"/>
        </w:rPr>
      </w:r>
    </w:p>
    <w:p>
      <w:pPr>
        <w:pStyle w:val="660"/>
        <w:jc w:val="both"/>
        <w:spacing w:after="160" w:line="259" w:lineRule="auto"/>
        <w:rPr>
          <w:rFonts w:eastAsia="Calibri"/>
          <w:sz w:val="26"/>
          <w:szCs w:val="26"/>
          <w:lang w:eastAsia="en-US"/>
        </w:rPr>
      </w:pPr>
      <w:r>
        <w:rPr>
          <w:rFonts w:eastAsia="Calibri"/>
          <w:sz w:val="26"/>
          <w:szCs w:val="26"/>
          <w:lang w:eastAsia="en-US"/>
        </w:rPr>
        <w:t xml:space="preserve">______________________________________________</w:t>
      </w:r>
      <w:r>
        <w:rPr>
          <w:rFonts w:eastAsia="Calibri"/>
          <w:sz w:val="26"/>
          <w:szCs w:val="26"/>
          <w:lang w:eastAsia="en-US"/>
        </w:rPr>
      </w:r>
    </w:p>
    <w:p>
      <w:pPr>
        <w:pStyle w:val="660"/>
        <w:ind w:firstLine="567"/>
        <w:jc w:val="both"/>
        <w:rPr>
          <w:b/>
          <w:color w:val="060708"/>
          <w:sz w:val="26"/>
          <w:szCs w:val="26"/>
          <w:shd w:val="clear" w:color="auto" w:fill="ffffff"/>
        </w:rPr>
      </w:pPr>
      <w:r>
        <w:rPr>
          <w:color w:val="060708"/>
          <w:sz w:val="26"/>
          <w:szCs w:val="26"/>
          <w:shd w:val="clear" w:color="auto" w:fill="ffffff"/>
        </w:rPr>
        <w:t xml:space="preserve">Действительно, «гаражная амнистия» показала свою эффективность. За 5 лет работы закон о «гаражной амнистии» стал востребованным механизмом для оформления прав на гаражную недвижимость. С начала его действия на Южном Урале оформлено </w:t>
      </w:r>
      <w:r>
        <w:rPr>
          <w:b/>
          <w:color w:val="060708"/>
          <w:sz w:val="26"/>
          <w:szCs w:val="26"/>
          <w:shd w:val="clear" w:color="auto" w:fill="ffffff"/>
        </w:rPr>
        <w:t xml:space="preserve">5606 гаражей и 9719 земельных участков общей площадью 26 тыс. кв.м.</w:t>
      </w:r>
      <w:r>
        <w:rPr>
          <w:b/>
          <w:color w:val="060708"/>
          <w:sz w:val="26"/>
          <w:szCs w:val="26"/>
          <w:shd w:val="clear" w:color="auto" w:fill="ffffff"/>
        </w:rPr>
      </w:r>
    </w:p>
    <w:p>
      <w:pPr>
        <w:pStyle w:val="660"/>
        <w:jc w:val="both"/>
        <w:spacing w:after="160" w:line="259" w:lineRule="auto"/>
        <w:rPr>
          <w:rFonts w:eastAsia="Calibri"/>
          <w:sz w:val="26"/>
          <w:szCs w:val="26"/>
          <w:lang w:eastAsia="en-US"/>
        </w:rPr>
      </w:pPr>
      <w:r>
        <w:rPr>
          <w:rFonts w:eastAsia="Calibri"/>
          <w:sz w:val="26"/>
          <w:szCs w:val="26"/>
          <w:lang w:eastAsia="en-US"/>
        </w:rPr>
        <w:t xml:space="preserve">______________________________________________</w:t>
      </w:r>
      <w:r>
        <w:rPr>
          <w:rFonts w:eastAsia="Calibri"/>
          <w:sz w:val="26"/>
          <w:szCs w:val="26"/>
          <w:lang w:eastAsia="en-US"/>
        </w:rPr>
      </w:r>
    </w:p>
    <w:p>
      <w:pPr>
        <w:pStyle w:val="660"/>
        <w:jc w:val="both"/>
        <w:spacing w:after="160" w:line="259" w:lineRule="auto"/>
        <w:rPr>
          <w:rFonts w:eastAsia="Calibri"/>
          <w:sz w:val="26"/>
          <w:szCs w:val="26"/>
          <w:lang w:eastAsia="en-US"/>
        </w:rPr>
      </w:pPr>
      <w:r>
        <w:rPr>
          <w:rFonts w:eastAsia="Calibri"/>
          <w:b/>
          <w:sz w:val="26"/>
          <w:szCs w:val="26"/>
          <w:lang w:eastAsia="en-US"/>
        </w:rPr>
        <w:t xml:space="preserve">Заместитель руководителя Управления Росреестра по Челябинской области Марина Воронина:</w:t>
      </w:r>
      <w:r>
        <w:rPr>
          <w:rFonts w:eastAsia="Calibri"/>
          <w:sz w:val="26"/>
          <w:szCs w:val="26"/>
          <w:lang w:eastAsia="en-US"/>
        </w:rPr>
        <w:t xml:space="preserve"> «</w:t>
      </w:r>
      <w:r>
        <w:rPr>
          <w:rFonts w:eastAsia="Calibri"/>
          <w:i/>
          <w:sz w:val="26"/>
          <w:szCs w:val="26"/>
          <w:lang w:eastAsia="en-US"/>
        </w:rPr>
        <w:t xml:space="preserve">Закон о «гаражной амнистии» имеет социальную направленность - помогае</w:t>
      </w:r>
      <w:r>
        <w:rPr>
          <w:rFonts w:eastAsia="Calibri"/>
          <w:i/>
          <w:sz w:val="26"/>
          <w:szCs w:val="26"/>
          <w:lang w:eastAsia="en-US"/>
        </w:rPr>
        <w:t xml:space="preserve">т людям в максимально упрощенном порядке бесплатно оформить гараж, который был построен до введения в действие Градостроительного кодекса РФ (до 29 декабря 2004 года), и земельный участок под ним. Начиная с 2021 года в Челябинской области зарегистрировано </w:t>
      </w:r>
      <w:r>
        <w:rPr>
          <w:rFonts w:eastAsia="Calibri"/>
          <w:b/>
          <w:i/>
          <w:sz w:val="26"/>
          <w:szCs w:val="26"/>
          <w:lang w:eastAsia="en-US"/>
        </w:rPr>
        <w:t xml:space="preserve">более 15 тысяч</w:t>
      </w:r>
      <w:r>
        <w:rPr>
          <w:rFonts w:eastAsia="Calibri"/>
          <w:i/>
          <w:sz w:val="26"/>
          <w:szCs w:val="26"/>
          <w:lang w:eastAsia="en-US"/>
        </w:rPr>
        <w:t xml:space="preserve"> прав на объекты – гаражи и земельные участки, которые подпадают под действие данного закона</w:t>
      </w:r>
      <w:r>
        <w:rPr>
          <w:rFonts w:eastAsia="Calibri"/>
          <w:sz w:val="26"/>
          <w:szCs w:val="26"/>
          <w:lang w:eastAsia="en-US"/>
        </w:rPr>
        <w:t xml:space="preserve">».</w:t>
      </w:r>
      <w:r>
        <w:rPr>
          <w:rFonts w:eastAsia="Calibri"/>
          <w:sz w:val="26"/>
          <w:szCs w:val="26"/>
          <w:lang w:eastAsia="en-US"/>
        </w:rPr>
      </w:r>
    </w:p>
    <w:p>
      <w:pPr>
        <w:pStyle w:val="660"/>
        <w:jc w:val="both"/>
        <w:spacing w:after="160" w:line="259" w:lineRule="auto"/>
        <w:rPr>
          <w:rFonts w:eastAsia="Calibri"/>
          <w:sz w:val="26"/>
          <w:szCs w:val="26"/>
          <w:lang w:eastAsia="en-US"/>
        </w:rPr>
      </w:pPr>
      <w:r>
        <w:rPr>
          <w:rFonts w:eastAsia="Calibri"/>
          <w:sz w:val="26"/>
          <w:szCs w:val="26"/>
          <w:lang w:eastAsia="en-US"/>
        </w:rPr>
        <w:t xml:space="preserve">______________________________________________</w:t>
      </w:r>
      <w:r>
        <w:rPr>
          <w:rFonts w:eastAsia="Calibri"/>
          <w:sz w:val="26"/>
          <w:szCs w:val="26"/>
          <w:lang w:eastAsia="en-US"/>
        </w:rPr>
      </w:r>
    </w:p>
    <w:p>
      <w:pPr>
        <w:pStyle w:val="660"/>
        <w:jc w:val="both"/>
        <w:rPr>
          <w:color w:val="060708"/>
          <w:sz w:val="26"/>
          <w:szCs w:val="26"/>
          <w:shd w:val="clear" w:color="auto" w:fill="ffffff"/>
        </w:rPr>
      </w:pPr>
      <w:r>
        <w:rPr>
          <w:color w:val="060708"/>
          <w:sz w:val="26"/>
          <w:szCs w:val="26"/>
          <w:shd w:val="clear" w:color="auto" w:fill="ffffff"/>
        </w:rPr>
      </w:r>
      <w:r>
        <w:rPr>
          <w:color w:val="060708"/>
          <w:sz w:val="26"/>
          <w:szCs w:val="26"/>
          <w:shd w:val="clear" w:color="auto" w:fill="ffffff"/>
        </w:rPr>
      </w:r>
    </w:p>
    <w:p>
      <w:pPr>
        <w:pStyle w:val="660"/>
        <w:jc w:val="both"/>
        <w:rPr>
          <w:b/>
          <w:color w:val="060708"/>
          <w:sz w:val="26"/>
          <w:szCs w:val="26"/>
          <w:shd w:val="clear" w:color="auto" w:fill="ffffff"/>
        </w:rPr>
      </w:pPr>
      <w:r>
        <w:rPr>
          <w:b/>
          <w:color w:val="060708"/>
          <w:sz w:val="26"/>
          <w:szCs w:val="26"/>
          <w:shd w:val="clear" w:color="auto" w:fill="ffffff"/>
        </w:rPr>
        <w:t xml:space="preserve">Напомним, «гаражная амнистия» распространяется на объекты гаражно</w:t>
      </w:r>
      <w:r>
        <w:rPr>
          <w:b/>
          <w:color w:val="060708"/>
          <w:sz w:val="26"/>
          <w:szCs w:val="26"/>
          <w:shd w:val="clear" w:color="auto" w:fill="ffffff"/>
        </w:rPr>
        <w:t xml:space="preserve">го назначения, возведенные до введения в действие Градостроительного кодекса РФ (31.12.2004). Сооружения должны иметь фундамент и стены, быть одноэтажными капитальными строениями, без жилых помещений. Они могут входить в состав гаражно-строительных коопера</w:t>
      </w:r>
      <w:r>
        <w:rPr>
          <w:b/>
          <w:color w:val="060708"/>
          <w:sz w:val="26"/>
          <w:szCs w:val="26"/>
          <w:shd w:val="clear" w:color="auto" w:fill="ffffff"/>
        </w:rPr>
        <w:t xml:space="preserve">тивов или быть отдельно стоящими капитальными постройками. Одно из условий - земля, на которой расположен гараж, находится в ведении государства. В этом случае человеку будет бесплатно предоставлен в собственность находящийся под гаражом земельный участок.</w:t>
      </w:r>
      <w:r>
        <w:rPr>
          <w:b/>
          <w:color w:val="060708"/>
          <w:sz w:val="26"/>
          <w:szCs w:val="26"/>
          <w:shd w:val="clear" w:color="auto" w:fill="ffffff"/>
        </w:rPr>
      </w:r>
    </w:p>
    <w:p>
      <w:pPr>
        <w:pStyle w:val="660"/>
        <w:jc w:val="both"/>
        <w:rPr>
          <w:b/>
          <w:color w:val="060708"/>
          <w:sz w:val="26"/>
          <w:szCs w:val="26"/>
          <w:shd w:val="clear" w:color="auto" w:fill="ffffff"/>
        </w:rPr>
      </w:pPr>
      <w:r>
        <w:rPr>
          <w:b/>
          <w:color w:val="060708"/>
          <w:sz w:val="26"/>
          <w:szCs w:val="26"/>
          <w:shd w:val="clear" w:color="auto" w:fill="ffffff"/>
        </w:rPr>
      </w:r>
      <w:r>
        <w:rPr>
          <w:b/>
          <w:color w:val="060708"/>
          <w:sz w:val="26"/>
          <w:szCs w:val="26"/>
          <w:shd w:val="clear" w:color="auto" w:fill="ffffff"/>
        </w:rPr>
      </w:r>
    </w:p>
    <w:p>
      <w:pPr>
        <w:pStyle w:val="660"/>
        <w:jc w:val="both"/>
        <w:rPr>
          <w:b/>
          <w:color w:val="0070c0"/>
          <w:sz w:val="26"/>
          <w:szCs w:val="26"/>
        </w:rPr>
      </w:pPr>
      <w:r>
        <w:rPr>
          <w:rFonts w:eastAsia="Calibri"/>
          <w:b/>
          <w:color w:val="0070c0"/>
          <w:sz w:val="26"/>
          <w:szCs w:val="26"/>
          <w:lang w:eastAsia="en-US"/>
        </w:rPr>
        <w:fldChar w:fldCharType="begin"/>
      </w:r>
      <w:r>
        <w:rPr>
          <w:rFonts w:eastAsia="Calibri"/>
          <w:b/>
          <w:color w:val="0070c0"/>
          <w:sz w:val="26"/>
          <w:szCs w:val="26"/>
          <w:lang w:eastAsia="en-US"/>
        </w:rPr>
        <w:instrText xml:space="preserve"> SHAPE  \* MERGEFORMAT </w:instrText>
      </w:r>
      <w:r>
        <w:rPr>
          <w:rFonts w:eastAsia="Calibri"/>
          <w:b/>
          <w:color w:val="0070c0"/>
          <w:sz w:val="26"/>
          <w:szCs w:val="26"/>
          <w:lang w:eastAsia="en-US"/>
        </w:rPr>
        <w:fldChar w:fldCharType="separate"/>
        <mc:AlternateContent>
          <mc:Choice Requires="wpg">
            <w:drawing>
              <wp:inline xmlns:wp="http://schemas.openxmlformats.org/drawingml/2006/wordprocessingDrawing" distT="0" distB="0" distL="0" distR="0">
                <wp:extent cx="304800" cy="304800"/>
                <wp:effectExtent l="0" t="0" r="0" b="0"/>
                <wp:docPr id="4" name="_x0000_s1033"/>
                <wp:cNvGraphicFramePr/>
                <a:graphic xmlns:a="http://schemas.openxmlformats.org/drawingml/2006/main">
                  <a:graphicData uri="http://schemas.microsoft.com/office/word/2010/wordprocessingShape">
                    <wps:wsp>
                      <wps:cNvPr id="0" name=""/>
                      <wps:cNvSpPr/>
                      <wps:spPr bwMode="auto">
                        <a:xfrm>
                          <a:off x="0" y="0"/>
                          <a:ext cx="304800" cy="304800"/>
                        </a:xfrm>
                        <a:prstGeom prst="rect">
                          <a:avLst/>
                        </a:prstGeom>
                        <a:noFill/>
                        <a:ln>
                          <a:noFill/>
                        </a:ln>
                      </wps:spPr>
                      <wps:bodyPr rot="0">
                        <a:prstTxWarp prst="textNoShape">
                          <a:avLst/>
                        </a:prstTxWarp>
                        <a:noAutofit/>
                      </wps:bodyPr>
                    </wps:wsp>
                  </a:graphicData>
                </a:graphic>
              </wp:inline>
            </w:drawing>
          </mc:Choice>
          <mc:Fallback>
            <w:pict>
              <v:shape id="shape 3" o:spid="_x0000_s3" o:spt="1" type="#_x0000_t1" style="width:24.00pt;height:24.00pt;mso-wrap-distance-left:0.00pt;mso-wrap-distance-top:0.00pt;mso-wrap-distance-right:0.00pt;mso-wrap-distance-bottom:0.00pt;visibility:visible;" filled="f" stroked="f"/>
            </w:pict>
          </mc:Fallback>
        </mc:AlternateContent>
      </w:r>
      <w:r>
        <w:rPr>
          <w:rFonts w:eastAsia="Calibri"/>
          <w:b/>
          <w:color w:val="0070c0"/>
          <w:sz w:val="26"/>
          <w:szCs w:val="26"/>
          <w:lang w:eastAsia="en-US"/>
        </w:rPr>
        <w:fldChar w:fldCharType="end"/>
      </w:r>
      <w:r>
        <w:rPr>
          <w:rFonts w:eastAsia="Calibri"/>
          <w:b/>
          <w:color w:val="0070c0"/>
          <w:sz w:val="26"/>
          <w:szCs w:val="26"/>
          <w:lang w:eastAsia="en-US"/>
        </w:rPr>
        <w:t xml:space="preserve">Актуальные тезисы по «гаражной амнистии»:</w:t>
      </w:r>
      <w:r>
        <w:rPr>
          <w:b/>
          <w:color w:val="0070c0"/>
          <w:sz w:val="26"/>
          <w:szCs w:val="26"/>
        </w:rPr>
      </w:r>
      <w:r>
        <w:rPr>
          <w:b/>
          <w:color w:val="0070c0"/>
          <w:sz w:val="26"/>
          <w:szCs w:val="26"/>
        </w:rPr>
      </w:r>
    </w:p>
    <w:p>
      <w:pPr>
        <w:pStyle w:val="660"/>
        <w:numPr>
          <w:ilvl w:val="0"/>
          <w:numId w:val="1"/>
        </w:numPr>
        <w:contextualSpacing/>
        <w:jc w:val="both"/>
        <w:spacing w:after="160" w:line="259" w:lineRule="auto"/>
        <w:rPr>
          <w:sz w:val="26"/>
          <w:szCs w:val="26"/>
        </w:rPr>
      </w:pPr>
      <w:r>
        <w:rPr>
          <w:color w:val="060708"/>
          <w:sz w:val="26"/>
          <w:szCs w:val="26"/>
          <w:shd w:val="clear" w:color="auto" w:fill="ffffff"/>
        </w:rPr>
        <w:t xml:space="preserve">Уточнить информацию о кадастровом учете участка под гаражом граждане теперь могут с помощью цифровой платформы НСПД. </w:t>
      </w:r>
      <w:r>
        <w:rPr>
          <w:sz w:val="26"/>
          <w:szCs w:val="26"/>
        </w:rPr>
      </w:r>
      <w:r>
        <w:rPr>
          <w:sz w:val="26"/>
          <w:szCs w:val="26"/>
        </w:rPr>
      </w:r>
    </w:p>
    <w:p>
      <w:pPr>
        <w:pStyle w:val="660"/>
        <w:numPr>
          <w:ilvl w:val="0"/>
          <w:numId w:val="1"/>
        </w:numPr>
        <w:contextualSpacing/>
        <w:jc w:val="both"/>
        <w:spacing w:after="160" w:line="259" w:lineRule="auto"/>
        <w:rPr>
          <w:sz w:val="26"/>
          <w:szCs w:val="26"/>
        </w:rPr>
      </w:pPr>
      <w:r>
        <w:rPr>
          <w:color w:val="060708"/>
          <w:sz w:val="26"/>
          <w:szCs w:val="26"/>
          <w:shd w:val="clear" w:color="auto" w:fill="ffffff"/>
        </w:rPr>
        <w:t xml:space="preserve">Подготовка схемы расположения земельного участка на кадастровом плане территории возможна при наличии утвержденного проекта межевания, при этом его отсутствие не является препятствием. </w:t>
      </w:r>
      <w:r>
        <w:rPr>
          <w:sz w:val="26"/>
          <w:szCs w:val="26"/>
        </w:rPr>
      </w:r>
      <w:r>
        <w:rPr>
          <w:sz w:val="26"/>
          <w:szCs w:val="26"/>
        </w:rPr>
      </w:r>
    </w:p>
    <w:p>
      <w:pPr>
        <w:pStyle w:val="660"/>
        <w:numPr>
          <w:ilvl w:val="0"/>
          <w:numId w:val="1"/>
        </w:numPr>
        <w:contextualSpacing/>
        <w:jc w:val="both"/>
        <w:spacing w:after="160" w:line="259" w:lineRule="auto"/>
        <w:rPr>
          <w:sz w:val="26"/>
          <w:szCs w:val="26"/>
        </w:rPr>
      </w:pPr>
      <w:r>
        <w:rPr>
          <w:color w:val="060708"/>
          <w:sz w:val="26"/>
          <w:szCs w:val="26"/>
          <w:shd w:val="clear" w:color="auto" w:fill="ffffff"/>
        </w:rPr>
        <w:t xml:space="preserve">Образование нового земельного участка под гаражом допускается без согласия арендаторов исходного участка, если он предоставлен в аренду сразу несколькими лицами. </w:t>
      </w:r>
      <w:r>
        <w:rPr>
          <w:sz w:val="26"/>
          <w:szCs w:val="26"/>
        </w:rPr>
      </w:r>
      <w:r>
        <w:rPr>
          <w:sz w:val="26"/>
          <w:szCs w:val="26"/>
        </w:rPr>
      </w:r>
    </w:p>
    <w:p>
      <w:pPr>
        <w:pStyle w:val="660"/>
        <w:numPr>
          <w:ilvl w:val="0"/>
          <w:numId w:val="1"/>
        </w:numPr>
        <w:contextualSpacing/>
        <w:jc w:val="both"/>
        <w:spacing w:after="160" w:line="259" w:lineRule="auto"/>
        <w:rPr>
          <w:sz w:val="26"/>
          <w:szCs w:val="26"/>
        </w:rPr>
      </w:pPr>
      <w:r>
        <w:rPr>
          <w:color w:val="060708"/>
          <w:sz w:val="26"/>
          <w:szCs w:val="26"/>
          <w:shd w:val="clear" w:color="auto" w:fill="ffffff"/>
        </w:rPr>
        <w:t xml:space="preserve">Отменена обязанность предоставления техплана гаража, если в ЕГРН уже есть сведения о нем. </w:t>
      </w:r>
      <w:r>
        <w:rPr>
          <w:sz w:val="26"/>
          <w:szCs w:val="26"/>
        </w:rPr>
      </w:r>
      <w:r>
        <w:rPr>
          <w:sz w:val="26"/>
          <w:szCs w:val="26"/>
        </w:rPr>
      </w:r>
    </w:p>
    <w:p>
      <w:pPr>
        <w:pStyle w:val="660"/>
        <w:numPr>
          <w:ilvl w:val="0"/>
          <w:numId w:val="2"/>
        </w:numPr>
        <w:contextualSpacing/>
        <w:jc w:val="both"/>
        <w:spacing w:after="160" w:line="259" w:lineRule="auto"/>
        <w:rPr>
          <w:color w:val="060708"/>
          <w:sz w:val="26"/>
          <w:szCs w:val="26"/>
          <w:shd w:val="clear" w:color="auto" w:fill="ffffff"/>
        </w:rPr>
      </w:pPr>
      <w:r>
        <w:rPr>
          <w:color w:val="060708"/>
          <w:sz w:val="26"/>
          <w:szCs w:val="26"/>
          <w:shd w:val="clear" w:color="auto" w:fill="ffffff"/>
        </w:rPr>
        <w:t xml:space="preserve">Срок рассмотрения заявления о предварительном согласовании предоставления земельного участка сокращен с 30 до 20 дней.</w:t>
      </w:r>
      <w:r>
        <w:rPr>
          <w:color w:val="060708"/>
          <w:sz w:val="26"/>
          <w:szCs w:val="26"/>
          <w:shd w:val="clear" w:color="auto" w:fill="ffffff"/>
        </w:rPr>
      </w:r>
    </w:p>
    <w:p>
      <w:pPr>
        <w:pStyle w:val="660"/>
        <w:ind w:firstLine="709"/>
        <w:jc w:val="both"/>
        <w:tabs>
          <w:tab w:val="left" w:pos="4830" w:leader="none"/>
        </w:tabs>
        <w:rPr>
          <w:rStyle w:val="738"/>
          <w:bCs/>
          <w:sz w:val="26"/>
          <w:szCs w:val="26"/>
        </w:rPr>
      </w:pPr>
      <w:r>
        <w:rPr>
          <w:rStyle w:val="738"/>
          <w:bCs/>
          <w:sz w:val="26"/>
          <w:szCs w:val="26"/>
        </w:rPr>
      </w:r>
      <w:r>
        <w:rPr>
          <w:rStyle w:val="738"/>
          <w:bCs/>
          <w:sz w:val="26"/>
          <w:szCs w:val="26"/>
        </w:rPr>
      </w:r>
    </w:p>
    <w:p>
      <w:pPr>
        <w:pStyle w:val="660"/>
        <w:ind w:firstLine="709"/>
        <w:jc w:val="both"/>
        <w:tabs>
          <w:tab w:val="left" w:pos="4830" w:leader="none"/>
        </w:tabs>
        <w:rPr>
          <w:rFonts w:ascii="Roboto" w:hAnsi="Roboto"/>
          <w:color w:val="1f4e79"/>
          <w:sz w:val="26"/>
          <w:szCs w:val="26"/>
          <w:shd w:val="clear" w:color="auto" w:fill="ffffff"/>
        </w:rPr>
      </w:pPr>
      <w:r>
        <w:rPr>
          <w:color w:val="1f4e79"/>
          <w:sz w:val="26"/>
          <w:szCs w:val="26"/>
        </w:rPr>
        <w:fldChar w:fldCharType="begin"/>
      </w:r>
      <w:r>
        <w:rPr>
          <w:color w:val="1f4e79"/>
          <w:sz w:val="26"/>
          <w:szCs w:val="26"/>
        </w:rPr>
        <w:instrText xml:space="preserve"> HYPERLINK "https://vk.com/feed?q=%23%D0%A0%D0%BE%D1%81%D1%80%D0%B5%D0%B5%D1%81%D1%82%D1%80%D0%A7%D0%B5%D0%BB%D1%8F%D0%B1%D0%B8%D0%BD%D1%81%D0%BA&amp;section=search" </w:instrText>
      </w:r>
      <w:r>
        <w:rPr>
          <w:color w:val="1f4e79"/>
          <w:sz w:val="26"/>
          <w:szCs w:val="26"/>
        </w:rPr>
        <w:fldChar w:fldCharType="separate"/>
      </w:r>
      <w:r>
        <w:rPr>
          <w:rStyle w:val="665"/>
          <w:rFonts w:ascii="Roboto" w:hAnsi="Roboto"/>
          <w:color w:val="1f4e79"/>
          <w:sz w:val="26"/>
          <w:szCs w:val="26"/>
          <w:u w:val="none"/>
          <w:shd w:val="clear" w:color="auto" w:fill="ffffff"/>
        </w:rPr>
        <w:t xml:space="preserve">#РосреестрЧелябинск</w:t>
      </w:r>
      <w:r>
        <w:rPr>
          <w:color w:val="1f4e79"/>
          <w:sz w:val="26"/>
          <w:szCs w:val="26"/>
        </w:rPr>
        <w:fldChar w:fldCharType="end"/>
      </w:r>
      <w:r>
        <w:rPr>
          <w:rFonts w:ascii="Roboto" w:hAnsi="Roboto"/>
          <w:color w:val="1f4e79"/>
          <w:sz w:val="26"/>
          <w:szCs w:val="26"/>
          <w:shd w:val="clear" w:color="auto" w:fill="ffffff"/>
        </w:rPr>
        <w:t xml:space="preserve"> </w:t>
      </w:r>
      <w:r>
        <w:rPr>
          <w:color w:val="1f4e79"/>
          <w:sz w:val="26"/>
          <w:szCs w:val="26"/>
        </w:rPr>
        <w:fldChar w:fldCharType="begin"/>
      </w:r>
      <w:r>
        <w:rPr>
          <w:color w:val="1f4e79"/>
          <w:sz w:val="26"/>
          <w:szCs w:val="26"/>
        </w:rPr>
        <w:instrText xml:space="preserve"> HYPERLINK "https://vk.com/feed?q=%23%D0%93%D0%93%D0%A1&amp;section=search" </w:instrText>
      </w:r>
      <w:r>
        <w:rPr>
          <w:color w:val="1f4e79"/>
          <w:sz w:val="26"/>
          <w:szCs w:val="26"/>
        </w:rPr>
        <w:fldChar w:fldCharType="separate"/>
      </w:r>
      <w:r>
        <w:rPr>
          <w:rStyle w:val="665"/>
          <w:rFonts w:ascii="Roboto" w:hAnsi="Roboto"/>
          <w:color w:val="1f4e79"/>
          <w:sz w:val="26"/>
          <w:szCs w:val="26"/>
          <w:u w:val="none"/>
          <w:shd w:val="clear" w:color="auto" w:fill="ffffff"/>
        </w:rPr>
        <w:t xml:space="preserve">#</w:t>
      </w:r>
      <w:r>
        <w:rPr>
          <w:color w:val="1f4e79"/>
          <w:sz w:val="26"/>
          <w:szCs w:val="26"/>
        </w:rPr>
        <w:fldChar w:fldCharType="end"/>
      </w:r>
      <w:r>
        <w:rPr>
          <w:color w:val="1f4e79"/>
          <w:sz w:val="26"/>
          <w:szCs w:val="26"/>
        </w:rPr>
        <w:t xml:space="preserve">ЕдинаяРоссияЧелябинск</w:t>
      </w:r>
      <w:r>
        <w:rPr>
          <w:rFonts w:ascii="Roboto" w:hAnsi="Roboto"/>
          <w:color w:val="1f4e79"/>
          <w:sz w:val="26"/>
          <w:szCs w:val="26"/>
          <w:shd w:val="clear" w:color="auto" w:fill="ffffff"/>
        </w:rPr>
        <w:t xml:space="preserve"> </w:t>
      </w:r>
      <w:r>
        <w:rPr>
          <w:color w:val="1f4e79"/>
          <w:sz w:val="26"/>
          <w:szCs w:val="26"/>
        </w:rPr>
        <w:fldChar w:fldCharType="begin"/>
      </w:r>
      <w:r>
        <w:rPr>
          <w:color w:val="1f4e79"/>
          <w:sz w:val="26"/>
          <w:szCs w:val="26"/>
        </w:rPr>
        <w:instrText xml:space="preserve"> HYPERLINK "https://vk.com/feed?q=%23%D0%93%D0%93%D0%A1&amp;section=search" </w:instrText>
      </w:r>
      <w:r>
        <w:rPr>
          <w:color w:val="1f4e79"/>
          <w:sz w:val="26"/>
          <w:szCs w:val="26"/>
        </w:rPr>
        <w:fldChar w:fldCharType="separate"/>
      </w:r>
      <w:r>
        <w:rPr>
          <w:rStyle w:val="665"/>
          <w:rFonts w:ascii="Roboto" w:hAnsi="Roboto"/>
          <w:color w:val="1f4e79"/>
          <w:sz w:val="26"/>
          <w:szCs w:val="26"/>
          <w:u w:val="none"/>
          <w:shd w:val="clear" w:color="auto" w:fill="ffffff"/>
        </w:rPr>
        <w:t xml:space="preserve">#</w:t>
      </w:r>
      <w:r>
        <w:rPr>
          <w:color w:val="1f4e79"/>
          <w:sz w:val="26"/>
          <w:szCs w:val="26"/>
        </w:rPr>
        <w:fldChar w:fldCharType="end"/>
      </w:r>
      <w:r>
        <w:rPr>
          <w:color w:val="1f4e79"/>
          <w:sz w:val="26"/>
          <w:szCs w:val="26"/>
        </w:rPr>
        <w:t xml:space="preserve">ГаражнаяАмнистия</w:t>
      </w:r>
      <w:r>
        <w:rPr>
          <w:rFonts w:ascii="Roboto" w:hAnsi="Roboto"/>
          <w:color w:val="1f4e79"/>
          <w:sz w:val="26"/>
          <w:szCs w:val="26"/>
          <w:shd w:val="clear" w:color="auto" w:fill="ffffff"/>
        </w:rPr>
      </w:r>
      <w:r>
        <w:rPr>
          <w:rFonts w:ascii="Roboto" w:hAnsi="Roboto"/>
          <w:color w:val="1f4e79"/>
          <w:sz w:val="26"/>
          <w:szCs w:val="26"/>
          <w:shd w:val="clear" w:color="auto" w:fill="ffffff"/>
        </w:rPr>
      </w:r>
    </w:p>
    <w:p>
      <w:pPr>
        <w:pStyle w:val="660"/>
        <w:ind w:firstLine="709"/>
        <w:jc w:val="both"/>
        <w:tabs>
          <w:tab w:val="left" w:pos="4830" w:leader="none"/>
        </w:tabs>
        <w:rPr>
          <w:rStyle w:val="738"/>
          <w:bCs/>
          <w:sz w:val="28"/>
          <w:szCs w:val="28"/>
        </w:rPr>
      </w:pPr>
      <w:r>
        <w:rPr>
          <w:rStyle w:val="738"/>
          <w:bCs/>
          <w:sz w:val="28"/>
          <w:szCs w:val="28"/>
        </w:rPr>
      </w:r>
      <w:r>
        <w:rPr>
          <w:rStyle w:val="738"/>
          <w:bCs/>
          <w:sz w:val="28"/>
          <w:szCs w:val="28"/>
        </w:rPr>
      </w:r>
    </w:p>
    <w:p>
      <w:pPr>
        <w:pStyle w:val="660"/>
        <w:ind w:firstLine="709"/>
        <w:jc w:val="both"/>
        <w:tabs>
          <w:tab w:val="left" w:pos="4830" w:leader="none"/>
        </w:tabs>
        <w:rPr>
          <w:rStyle w:val="738"/>
          <w:bCs/>
          <w:sz w:val="28"/>
          <w:szCs w:val="28"/>
        </w:rPr>
      </w:pPr>
      <w:r>
        <w:rPr>
          <w:rStyle w:val="738"/>
          <w:bCs/>
          <w:sz w:val="28"/>
          <w:szCs w:val="28"/>
        </w:rPr>
      </w:r>
      <w:r>
        <w:rPr>
          <w:rStyle w:val="738"/>
          <w:bCs/>
          <w:sz w:val="28"/>
          <w:szCs w:val="28"/>
        </w:rPr>
      </w:r>
    </w:p>
    <w:p>
      <w:pPr>
        <w:pStyle w:val="660"/>
        <w:jc w:val="right"/>
        <w:rPr>
          <w:rStyle w:val="738"/>
          <w:b/>
          <w:bCs/>
          <w:sz w:val="26"/>
          <w:szCs w:val="26"/>
          <w:shd w:val="clear" w:color="auto" w:fill="ffffff"/>
        </w:rPr>
      </w:pPr>
      <w:r>
        <w:rPr>
          <w:rStyle w:val="738"/>
          <w:b/>
          <w:bCs/>
          <w:sz w:val="26"/>
          <w:szCs w:val="26"/>
          <w:shd w:val="clear" w:color="auto" w:fill="ffffff"/>
        </w:rPr>
        <w:t xml:space="preserve">Материал подготовлен пресс-службой Росреестра и Роскадастра </w:t>
      </w:r>
      <w:r>
        <w:rPr>
          <w:rStyle w:val="738"/>
          <w:b/>
          <w:bCs/>
          <w:sz w:val="26"/>
          <w:szCs w:val="26"/>
          <w:shd w:val="clear" w:color="auto" w:fill="ffffff"/>
        </w:rPr>
      </w:r>
      <w:r>
        <w:rPr>
          <w:rStyle w:val="738"/>
          <w:b/>
          <w:bCs/>
          <w:sz w:val="26"/>
          <w:szCs w:val="26"/>
          <w:shd w:val="clear" w:color="auto" w:fill="ffffff"/>
        </w:rPr>
      </w:r>
    </w:p>
    <w:p>
      <w:pPr>
        <w:pStyle w:val="660"/>
        <w:jc w:val="right"/>
        <w:rPr>
          <w:rStyle w:val="738"/>
          <w:b/>
          <w:bCs/>
          <w:sz w:val="26"/>
          <w:szCs w:val="26"/>
          <w:shd w:val="clear" w:color="auto" w:fill="ffffff"/>
        </w:rPr>
      </w:pPr>
      <w:r>
        <w:rPr>
          <w:rStyle w:val="738"/>
          <w:b/>
          <w:bCs/>
          <w:sz w:val="26"/>
          <w:szCs w:val="26"/>
          <w:shd w:val="clear" w:color="auto" w:fill="ffffff"/>
        </w:rPr>
        <w:t xml:space="preserve">по Челябинской области совместно с пресс-службой Челябинского </w:t>
      </w:r>
      <w:r>
        <w:rPr>
          <w:rStyle w:val="738"/>
          <w:b/>
          <w:bCs/>
          <w:sz w:val="26"/>
          <w:szCs w:val="26"/>
          <w:shd w:val="clear" w:color="auto" w:fill="ffffff"/>
        </w:rPr>
      </w:r>
      <w:r>
        <w:rPr>
          <w:rStyle w:val="738"/>
          <w:b/>
          <w:bCs/>
          <w:sz w:val="26"/>
          <w:szCs w:val="26"/>
          <w:shd w:val="clear" w:color="auto" w:fill="ffffff"/>
        </w:rPr>
      </w:r>
    </w:p>
    <w:p>
      <w:pPr>
        <w:pStyle w:val="660"/>
        <w:jc w:val="right"/>
        <w:rPr>
          <w:rStyle w:val="738"/>
          <w:b/>
          <w:bCs/>
          <w:sz w:val="26"/>
          <w:szCs w:val="26"/>
          <w:shd w:val="clear" w:color="auto" w:fill="ffffff"/>
        </w:rPr>
      </w:pPr>
      <w:r>
        <w:rPr>
          <w:rStyle w:val="738"/>
          <w:b/>
          <w:bCs/>
          <w:sz w:val="26"/>
          <w:szCs w:val="26"/>
          <w:shd w:val="clear" w:color="auto" w:fill="ffffff"/>
        </w:rPr>
        <w:t xml:space="preserve">регионального отделения Партии «ЕДИНАЯ РОССИЯ»</w:t>
      </w:r>
      <w:r>
        <w:rPr>
          <w:rStyle w:val="738"/>
          <w:b/>
          <w:bCs/>
          <w:sz w:val="26"/>
          <w:szCs w:val="26"/>
          <w:shd w:val="clear" w:color="auto" w:fill="ffffff"/>
        </w:rPr>
      </w:r>
    </w:p>
    <w:p>
      <w:pPr>
        <w:pStyle w:val="660"/>
        <w:ind w:firstLine="426"/>
        <w:jc w:val="right"/>
        <w:rPr>
          <w:rFonts w:eastAsia="Arial Unicode MS" w:cs="Arial Unicode MS"/>
          <w:color w:val="000000"/>
          <w:sz w:val="28"/>
          <w:szCs w:val="28"/>
          <w:lang w:eastAsia="zh-CN"/>
        </w:rPr>
      </w:pPr>
      <w:r>
        <w:rPr>
          <w:rFonts w:eastAsia="Arial Unicode MS" w:cs="Arial Unicode MS"/>
          <w:color w:val="000000"/>
          <w:sz w:val="28"/>
          <w:szCs w:val="28"/>
          <w:lang w:eastAsia="zh-CN"/>
        </w:rPr>
      </w:r>
      <w:r>
        <w:rPr>
          <w:rFonts w:eastAsia="Arial Unicode MS" w:cs="Arial Unicode MS"/>
          <w:color w:val="000000"/>
          <w:sz w:val="28"/>
          <w:szCs w:val="28"/>
          <w:lang w:eastAsia="zh-CN"/>
        </w:rPr>
      </w:r>
    </w:p>
    <w:p>
      <w:pPr>
        <w:pStyle w:val="660"/>
        <w:jc w:val="both"/>
        <w:shd w:val="clear" w:color="auto" w:fill="ffffff"/>
        <w:rPr>
          <w:rFonts w:eastAsia="Arial Unicode MS"/>
          <w:color w:val="000000"/>
          <w:sz w:val="28"/>
          <w:szCs w:val="28"/>
          <w:lang w:eastAsia="zh-CN"/>
        </w:rPr>
      </w:pPr>
      <w:r>
        <w:rPr>
          <w:rFonts w:eastAsia="Arial"/>
          <w:b/>
          <w:color w:val="000000"/>
          <w:sz w:val="28"/>
          <w:szCs w:val="28"/>
        </w:rPr>
        <mc:AlternateContent>
          <mc:Choice Requires="wpg">
            <w:drawing>
              <wp:inline xmlns:wp="http://schemas.openxmlformats.org/drawingml/2006/wordprocessingDrawing" distT="0" distB="0" distL="0" distR="0">
                <wp:extent cx="6010910" cy="19042"/>
                <wp:effectExtent l="0" t="0" r="0" b="0"/>
                <wp:docPr id="5" name="_x0000_i10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stretch/>
                      </pic:blipFill>
                      <pic:spPr bwMode="auto">
                        <a:xfrm>
                          <a:off x="0" y="0"/>
                          <a:ext cx="6010910" cy="1904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473.30pt;height:1.50pt;mso-wrap-distance-left:0.00pt;mso-wrap-distance-top:0.00pt;mso-wrap-distance-right:0.00pt;mso-wrap-distance-bottom:0.00pt;" stroked="f">
                <v:path textboxrect="0,0,0,0"/>
                <v:imagedata r:id="rId16" o:title=""/>
              </v:shape>
            </w:pict>
          </mc:Fallback>
        </mc:AlternateContent>
      </w:r>
      <w:r>
        <w:rPr>
          <w:rFonts w:eastAsia="Arial Unicode MS"/>
          <w:color w:val="000000"/>
          <w:sz w:val="28"/>
          <w:szCs w:val="28"/>
          <w:lang w:eastAsia="zh-CN"/>
        </w:rPr>
      </w:r>
      <w:r>
        <w:rPr>
          <w:rFonts w:eastAsia="Arial Unicode MS"/>
          <w:color w:val="000000"/>
          <w:sz w:val="28"/>
          <w:szCs w:val="28"/>
          <w:lang w:eastAsia="zh-CN"/>
        </w:rPr>
      </w:r>
    </w:p>
    <w:p>
      <w:pPr>
        <w:pStyle w:val="660"/>
        <w:jc w:val="both"/>
        <w:rPr>
          <w:rFonts w:eastAsia="Arial"/>
          <w:b/>
          <w:color w:val="000000"/>
          <w:sz w:val="28"/>
          <w:szCs w:val="28"/>
          <w:lang w:eastAsia="sk-SK"/>
        </w:rPr>
      </w:pPr>
      <w:r>
        <w:rPr>
          <w:rFonts w:eastAsia="Arial"/>
          <w:b/>
          <w:color w:val="000000"/>
          <w:sz w:val="28"/>
          <w:szCs w:val="28"/>
          <w:lang w:eastAsia="sk-SK"/>
        </w:rPr>
      </w:r>
      <w:r>
        <w:rPr>
          <w:rFonts w:eastAsia="Arial"/>
          <w:b/>
          <w:color w:val="000000"/>
          <w:sz w:val="28"/>
          <w:szCs w:val="28"/>
          <w:lang w:eastAsia="sk-SK"/>
        </w:rPr>
      </w:r>
    </w:p>
    <w:p>
      <w:pPr>
        <w:pStyle w:val="660"/>
        <w:rPr>
          <w:rFonts w:eastAsia="Arial Unicode MS"/>
          <w:bCs/>
          <w:i/>
          <w:color w:val="000000"/>
          <w:sz w:val="28"/>
          <w:szCs w:val="28"/>
          <w:lang w:eastAsia="zh-CN"/>
        </w:rPr>
      </w:pPr>
      <w:r>
        <w:rPr>
          <w:rFonts w:eastAsia="Arial"/>
          <w:color w:val="000000"/>
          <w:sz w:val="26"/>
          <w:szCs w:val="26"/>
        </w:rPr>
        <mc:AlternateContent>
          <mc:Choice Requires="wpg">
            <w:drawing>
              <wp:inline xmlns:wp="http://schemas.openxmlformats.org/drawingml/2006/wordprocessingDrawing" distT="0" distB="0" distL="0" distR="0">
                <wp:extent cx="2627643" cy="1836801"/>
                <wp:effectExtent l="0" t="0" r="0" b="0"/>
                <wp:docPr id="6" name="_x0000_i10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srcRect l="0" t="22157" r="0" b="7843"/>
                        <a:stretch/>
                      </pic:blipFill>
                      <pic:spPr bwMode="auto">
                        <a:xfrm>
                          <a:off x="0" y="0"/>
                          <a:ext cx="2627643" cy="1836801"/>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06.90pt;height:144.63pt;mso-wrap-distance-left:0.00pt;mso-wrap-distance-top:0.00pt;mso-wrap-distance-right:0.00pt;mso-wrap-distance-bottom:0.00pt;" stroked="f">
                <v:path textboxrect="0,0,0,0"/>
                <v:imagedata r:id="rId17" o:title=""/>
              </v:shape>
            </w:pict>
          </mc:Fallback>
        </mc:AlternateContent>
      </w:r>
      <w:r>
        <w:rPr>
          <w:rFonts w:eastAsia="Arial Unicode MS"/>
          <w:bCs/>
          <w:i/>
          <w:color w:val="000000"/>
          <w:sz w:val="28"/>
          <w:szCs w:val="28"/>
          <w:lang w:eastAsia="zh-CN"/>
        </w:rPr>
      </w:r>
      <w:r>
        <w:rPr>
          <w:rFonts w:eastAsia="Arial Unicode MS"/>
          <w:bCs/>
          <w:i/>
          <w:color w:val="000000"/>
          <w:sz w:val="28"/>
          <w:szCs w:val="28"/>
          <w:lang w:eastAsia="zh-CN"/>
        </w:rPr>
      </w:r>
    </w:p>
    <w:sectPr>
      <w:headerReference w:type="default" r:id="rId9"/>
      <w:headerReference w:type="first" r:id="rId10"/>
      <w:footerReference w:type="default" r:id="rId11"/>
      <w:footerReference w:type="first" r:id="rId12"/>
      <w:footnotePr/>
      <w:endnotePr/>
      <w:type w:val="nextPage"/>
      <w:pgSz w:w="11906" w:h="16838" w:orient="portrait"/>
      <w:pgMar w:top="284" w:right="566" w:bottom="142" w:left="709" w:header="0" w:footer="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000000000000000"/>
  </w:font>
  <w:font w:name="Liberation Serif">
    <w:panose1 w:val="02020603050405020304"/>
  </w:font>
  <w:font w:name="Source Han Sans CN Regular">
    <w:panose1 w:val="02000603000000000000"/>
  </w:font>
  <w:font w:name="Golos">
    <w:panose1 w:val="02000603000000000000"/>
  </w:font>
  <w:font w:name="Helvetica Neue">
    <w:panose1 w:val="02000603000000000000"/>
  </w:font>
  <w:font w:name="Calibri">
    <w:panose1 w:val="020F0502020204030204"/>
  </w:font>
  <w:font w:name="Tahoma">
    <w:panose1 w:val="020B0604030504040204"/>
  </w:font>
  <w:font w:name="Symbol">
    <w:panose1 w:val="05010000000000000000"/>
  </w:font>
  <w:font w:name="Noto Sans Devanagari">
    <w:panose1 w:val="020B0502040504020204"/>
  </w:font>
  <w:font w:name="PT Sans">
    <w:panose1 w:val="020B0503020203020204"/>
  </w:font>
  <w:font w:name="Wingdings">
    <w:panose1 w:val="05010000000000000000"/>
  </w:font>
  <w:font w:name="Lucida Sans">
    <w:panose1 w:val="020B0502040504020204"/>
  </w:font>
  <w:font w:name="Mangal">
    <w:panose1 w:val="02040503050306020203"/>
  </w:font>
  <w:font w:name="Courier New">
    <w:panose1 w:val="02070409020205020404"/>
  </w:font>
  <w:font w:name="Times New Roman">
    <w:panose1 w:val="02020603050405020304"/>
  </w:font>
  <w:font w:name="Segoe UI">
    <w:panose1 w:val="020B0502040504020204"/>
  </w:font>
  <w:font w:name="Arial">
    <w:panose1 w:val="020B0604020202020204"/>
  </w:font>
  <w:font w:name="PT Astra Serif">
    <w:panose1 w:val="020A0603040505020204"/>
  </w:font>
  <w:font w:name="Arial Unicode MS">
    <w:panose1 w:val="020B0506020203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77"/>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77"/>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60"/>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Wingdings" w:hAnsi="Wingdings"/>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
    <w:multiLevelType w:val="hybridMultilevel"/>
    <w:lvl w:ilvl="0">
      <w:start w:val="1"/>
      <w:numFmt w:val="bullet"/>
      <w:isLgl w:val="false"/>
      <w:suff w:val="tab"/>
      <w:lvlText w:val=""/>
      <w:lvlJc w:val="left"/>
      <w:pPr>
        <w:ind w:left="720" w:hanging="360"/>
      </w:pPr>
      <w:rPr>
        <w:rFonts w:ascii="Wingdings" w:hAnsi="Wingdings"/>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60"/>
    <w:next w:val="660"/>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660"/>
    <w:next w:val="660"/>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660"/>
    <w:next w:val="660"/>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660"/>
    <w:next w:val="660"/>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660"/>
    <w:next w:val="660"/>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660"/>
    <w:next w:val="660"/>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660"/>
    <w:next w:val="660"/>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660"/>
    <w:next w:val="660"/>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660"/>
    <w:next w:val="660"/>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1">
    <w:name w:val="List Paragraph"/>
    <w:basedOn w:val="660"/>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60"/>
    <w:next w:val="660"/>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660"/>
    <w:next w:val="660"/>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660"/>
    <w:next w:val="660"/>
    <w:link w:val="39"/>
    <w:uiPriority w:val="29"/>
    <w:qFormat/>
    <w:pPr>
      <w:ind w:left="720" w:right="720"/>
    </w:pPr>
    <w:rPr>
      <w:i/>
    </w:rPr>
  </w:style>
  <w:style w:type="character" w:styleId="39">
    <w:name w:val="Quote Char"/>
    <w:link w:val="38"/>
    <w:uiPriority w:val="29"/>
    <w:rPr>
      <w:i/>
    </w:rPr>
  </w:style>
  <w:style w:type="paragraph" w:styleId="40">
    <w:name w:val="Intense Quote"/>
    <w:basedOn w:val="660"/>
    <w:next w:val="660"/>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60"/>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660"/>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660"/>
    <w:next w:val="660"/>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60"/>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660"/>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660"/>
    <w:next w:val="660"/>
    <w:uiPriority w:val="39"/>
    <w:unhideWhenUsed/>
    <w:pPr>
      <w:ind w:left="0" w:right="0" w:firstLine="0"/>
      <w:spacing w:after="57"/>
    </w:pPr>
  </w:style>
  <w:style w:type="paragraph" w:styleId="182">
    <w:name w:val="toc 2"/>
    <w:basedOn w:val="660"/>
    <w:next w:val="660"/>
    <w:uiPriority w:val="39"/>
    <w:unhideWhenUsed/>
    <w:pPr>
      <w:ind w:left="283" w:right="0" w:firstLine="0"/>
      <w:spacing w:after="57"/>
    </w:pPr>
  </w:style>
  <w:style w:type="paragraph" w:styleId="183">
    <w:name w:val="toc 3"/>
    <w:basedOn w:val="660"/>
    <w:next w:val="660"/>
    <w:uiPriority w:val="39"/>
    <w:unhideWhenUsed/>
    <w:pPr>
      <w:ind w:left="567" w:right="0" w:firstLine="0"/>
      <w:spacing w:after="57"/>
    </w:pPr>
  </w:style>
  <w:style w:type="paragraph" w:styleId="184">
    <w:name w:val="toc 4"/>
    <w:basedOn w:val="660"/>
    <w:next w:val="660"/>
    <w:uiPriority w:val="39"/>
    <w:unhideWhenUsed/>
    <w:pPr>
      <w:ind w:left="850" w:right="0" w:firstLine="0"/>
      <w:spacing w:after="57"/>
    </w:pPr>
  </w:style>
  <w:style w:type="paragraph" w:styleId="185">
    <w:name w:val="toc 5"/>
    <w:basedOn w:val="660"/>
    <w:next w:val="660"/>
    <w:uiPriority w:val="39"/>
    <w:unhideWhenUsed/>
    <w:pPr>
      <w:ind w:left="1134" w:right="0" w:firstLine="0"/>
      <w:spacing w:after="57"/>
    </w:pPr>
  </w:style>
  <w:style w:type="paragraph" w:styleId="186">
    <w:name w:val="toc 6"/>
    <w:basedOn w:val="660"/>
    <w:next w:val="660"/>
    <w:uiPriority w:val="39"/>
    <w:unhideWhenUsed/>
    <w:pPr>
      <w:ind w:left="1417" w:right="0" w:firstLine="0"/>
      <w:spacing w:after="57"/>
    </w:pPr>
  </w:style>
  <w:style w:type="paragraph" w:styleId="187">
    <w:name w:val="toc 7"/>
    <w:basedOn w:val="660"/>
    <w:next w:val="660"/>
    <w:uiPriority w:val="39"/>
    <w:unhideWhenUsed/>
    <w:pPr>
      <w:ind w:left="1701" w:right="0" w:firstLine="0"/>
      <w:spacing w:after="57"/>
    </w:pPr>
  </w:style>
  <w:style w:type="paragraph" w:styleId="188">
    <w:name w:val="toc 8"/>
    <w:basedOn w:val="660"/>
    <w:next w:val="660"/>
    <w:uiPriority w:val="39"/>
    <w:unhideWhenUsed/>
    <w:pPr>
      <w:ind w:left="1984" w:right="0" w:firstLine="0"/>
      <w:spacing w:after="57"/>
    </w:pPr>
  </w:style>
  <w:style w:type="paragraph" w:styleId="189">
    <w:name w:val="toc 9"/>
    <w:basedOn w:val="660"/>
    <w:next w:val="660"/>
    <w:uiPriority w:val="39"/>
    <w:unhideWhenUsed/>
    <w:pPr>
      <w:ind w:left="2268" w:right="0" w:firstLine="0"/>
      <w:spacing w:after="57"/>
    </w:pPr>
  </w:style>
  <w:style w:type="paragraph" w:styleId="190">
    <w:name w:val="TOC Heading"/>
    <w:uiPriority w:val="39"/>
    <w:unhideWhenUsed/>
  </w:style>
  <w:style w:type="paragraph" w:styleId="191">
    <w:name w:val="table of figures"/>
    <w:basedOn w:val="660"/>
    <w:next w:val="660"/>
    <w:uiPriority w:val="99"/>
    <w:unhideWhenUsed/>
    <w:pPr>
      <w:spacing w:after="0" w:afterAutospacing="0"/>
    </w:pPr>
  </w:style>
  <w:style w:type="paragraph" w:styleId="660" w:default="1">
    <w:name w:val="Normal"/>
    <w:next w:val="660"/>
    <w:link w:val="660"/>
    <w:qFormat/>
    <w:rPr>
      <w:sz w:val="24"/>
      <w:szCs w:val="24"/>
      <w:lang w:val="ru-RU" w:eastAsia="ru-RU" w:bidi="ar-SA"/>
    </w:rPr>
  </w:style>
  <w:style w:type="character" w:styleId="661">
    <w:name w:val="Основной шрифт абзаца"/>
    <w:next w:val="661"/>
    <w:link w:val="660"/>
    <w:uiPriority w:val="1"/>
    <w:unhideWhenUsed/>
  </w:style>
  <w:style w:type="table" w:styleId="662">
    <w:name w:val="Обычная таблица"/>
    <w:next w:val="662"/>
    <w:link w:val="660"/>
    <w:uiPriority w:val="99"/>
    <w:unhideWhenUsed/>
    <w:tblPr/>
  </w:style>
  <w:style w:type="numbering" w:styleId="663">
    <w:name w:val="Нет списка"/>
    <w:next w:val="663"/>
    <w:link w:val="660"/>
    <w:uiPriority w:val="99"/>
    <w:semiHidden/>
    <w:unhideWhenUsed/>
  </w:style>
  <w:style w:type="character" w:styleId="664">
    <w:name w:val="Выделение"/>
    <w:next w:val="664"/>
    <w:link w:val="660"/>
    <w:uiPriority w:val="20"/>
    <w:qFormat/>
    <w:rPr>
      <w:i/>
      <w:iCs/>
    </w:rPr>
  </w:style>
  <w:style w:type="character" w:styleId="665">
    <w:name w:val="Гиперссылка"/>
    <w:next w:val="665"/>
    <w:link w:val="660"/>
    <w:uiPriority w:val="99"/>
    <w:rPr>
      <w:u w:val="single"/>
    </w:rPr>
  </w:style>
  <w:style w:type="character" w:styleId="666">
    <w:name w:val="Строгий"/>
    <w:next w:val="666"/>
    <w:link w:val="660"/>
    <w:uiPriority w:val="22"/>
    <w:qFormat/>
    <w:rPr>
      <w:b/>
      <w:bCs/>
    </w:rPr>
  </w:style>
  <w:style w:type="paragraph" w:styleId="667">
    <w:name w:val="Текст выноски"/>
    <w:basedOn w:val="660"/>
    <w:next w:val="667"/>
    <w:link w:val="660"/>
    <w:rPr>
      <w:rFonts w:ascii="Segoe UI" w:hAnsi="Segoe UI" w:cs="Times New Roman"/>
      <w:sz w:val="18"/>
      <w:szCs w:val="18"/>
    </w:rPr>
  </w:style>
  <w:style w:type="paragraph" w:styleId="668">
    <w:name w:val="Текст концевой сноски"/>
    <w:basedOn w:val="660"/>
    <w:next w:val="668"/>
    <w:link w:val="660"/>
    <w:rPr>
      <w:rFonts w:cs="Times New Roman"/>
      <w:sz w:val="20"/>
      <w:szCs w:val="20"/>
    </w:rPr>
  </w:style>
  <w:style w:type="paragraph" w:styleId="669">
    <w:name w:val="Название объекта"/>
    <w:basedOn w:val="660"/>
    <w:next w:val="669"/>
    <w:link w:val="660"/>
    <w:qFormat/>
    <w:pPr>
      <w:spacing w:before="120" w:after="120"/>
      <w:suppressLineNumbers/>
    </w:pPr>
    <w:rPr>
      <w:rFonts w:cs="Mangal"/>
      <w:i/>
      <w:iCs/>
      <w:sz w:val="24"/>
      <w:szCs w:val="24"/>
    </w:rPr>
  </w:style>
  <w:style w:type="paragraph" w:styleId="670">
    <w:name w:val="Тема примечания"/>
    <w:basedOn w:val="671"/>
    <w:next w:val="671"/>
    <w:link w:val="660"/>
    <w:rPr>
      <w:b/>
      <w:bCs/>
    </w:rPr>
  </w:style>
  <w:style w:type="paragraph" w:styleId="671">
    <w:name w:val="Текст примечания1"/>
    <w:basedOn w:val="660"/>
    <w:next w:val="671"/>
    <w:link w:val="660"/>
    <w:rPr>
      <w:rFonts w:cs="Times New Roman"/>
      <w:sz w:val="20"/>
      <w:szCs w:val="20"/>
    </w:rPr>
  </w:style>
  <w:style w:type="paragraph" w:styleId="672">
    <w:name w:val="Верхний колонтитул"/>
    <w:basedOn w:val="673"/>
    <w:next w:val="672"/>
    <w:link w:val="660"/>
    <w:pPr>
      <w:tabs>
        <w:tab w:val="center" w:pos="4819" w:leader="none"/>
        <w:tab w:val="right" w:pos="9638" w:leader="none"/>
      </w:tabs>
      <w:suppressLineNumbers/>
    </w:pPr>
  </w:style>
  <w:style w:type="paragraph" w:styleId="673">
    <w:name w:val="Верхний и нижний колонтитулы"/>
    <w:basedOn w:val="660"/>
    <w:next w:val="673"/>
    <w:link w:val="660"/>
    <w:pPr>
      <w:tabs>
        <w:tab w:val="center" w:pos="4819" w:leader="none"/>
        <w:tab w:val="right" w:pos="9638" w:leader="none"/>
      </w:tabs>
      <w:suppressLineNumbers/>
    </w:pPr>
  </w:style>
  <w:style w:type="paragraph" w:styleId="674">
    <w:name w:val="Основной текст"/>
    <w:basedOn w:val="660"/>
    <w:next w:val="674"/>
    <w:link w:val="660"/>
    <w:pPr>
      <w:spacing w:before="0" w:after="140" w:line="276" w:lineRule="auto"/>
    </w:pPr>
  </w:style>
  <w:style w:type="paragraph" w:styleId="675">
    <w:name w:val="Нижний колонтитул"/>
    <w:basedOn w:val="673"/>
    <w:next w:val="675"/>
    <w:link w:val="660"/>
    <w:pPr>
      <w:tabs>
        <w:tab w:val="center" w:pos="4819" w:leader="none"/>
        <w:tab w:val="right" w:pos="9638" w:leader="none"/>
      </w:tabs>
      <w:suppressLineNumbers/>
    </w:pPr>
  </w:style>
  <w:style w:type="paragraph" w:styleId="676">
    <w:name w:val="Список"/>
    <w:basedOn w:val="674"/>
    <w:next w:val="676"/>
    <w:link w:val="660"/>
    <w:rPr>
      <w:rFonts w:ascii="PT Sans" w:hAnsi="PT Sans" w:cs="Noto Sans Devanagari"/>
    </w:rPr>
  </w:style>
  <w:style w:type="paragraph" w:styleId="677">
    <w:name w:val="Обычный (веб)"/>
    <w:basedOn w:val="660"/>
    <w:next w:val="677"/>
    <w:link w:val="660"/>
    <w:uiPriority w:val="99"/>
    <w:pPr>
      <w:spacing w:before="100" w:after="100"/>
    </w:pPr>
    <w:rPr>
      <w:rFonts w:eastAsia="Times New Roman" w:cs="Times New Roman"/>
      <w:color w:val="000000"/>
    </w:rPr>
  </w:style>
  <w:style w:type="character" w:styleId="678">
    <w:name w:val="WW8Num1z0"/>
    <w:next w:val="678"/>
    <w:link w:val="660"/>
    <w:rPr>
      <w:rFonts w:ascii="Symbol" w:hAnsi="Symbol" w:cs="Symbol"/>
    </w:rPr>
  </w:style>
  <w:style w:type="character" w:styleId="679">
    <w:name w:val="WW8Num1z1"/>
    <w:next w:val="679"/>
    <w:link w:val="660"/>
    <w:rPr>
      <w:rFonts w:ascii="Courier New" w:hAnsi="Courier New" w:cs="Courier New"/>
    </w:rPr>
  </w:style>
  <w:style w:type="character" w:styleId="680">
    <w:name w:val="WW8Num1z2"/>
    <w:next w:val="680"/>
    <w:link w:val="660"/>
    <w:rPr>
      <w:rFonts w:ascii="Wingdings" w:hAnsi="Wingdings" w:cs="Wingdings"/>
    </w:rPr>
  </w:style>
  <w:style w:type="character" w:styleId="681">
    <w:name w:val="WW8Num2z0"/>
    <w:next w:val="681"/>
    <w:link w:val="660"/>
    <w:rPr>
      <w:rFonts w:ascii="Symbol" w:hAnsi="Symbol" w:cs="Symbol"/>
    </w:rPr>
  </w:style>
  <w:style w:type="character" w:styleId="682">
    <w:name w:val="WW8Num2z1"/>
    <w:next w:val="682"/>
    <w:link w:val="660"/>
    <w:rPr>
      <w:rFonts w:ascii="Courier New" w:hAnsi="Courier New" w:cs="Courier New"/>
    </w:rPr>
  </w:style>
  <w:style w:type="character" w:styleId="683">
    <w:name w:val="WW8Num2z2"/>
    <w:next w:val="683"/>
    <w:link w:val="660"/>
    <w:rPr>
      <w:rFonts w:ascii="Wingdings" w:hAnsi="Wingdings" w:cs="Wingdings"/>
    </w:rPr>
  </w:style>
  <w:style w:type="character" w:styleId="684">
    <w:name w:val="Основной шрифт абзаца13"/>
    <w:next w:val="684"/>
    <w:link w:val="660"/>
  </w:style>
  <w:style w:type="character" w:styleId="685">
    <w:name w:val="WW8Num1z3"/>
    <w:next w:val="685"/>
    <w:link w:val="660"/>
    <w:rPr>
      <w:rFonts w:ascii="Symbol" w:hAnsi="Symbol" w:cs="Symbol"/>
    </w:rPr>
  </w:style>
  <w:style w:type="character" w:styleId="686">
    <w:name w:val="WW8Num1z4"/>
    <w:next w:val="686"/>
    <w:link w:val="660"/>
  </w:style>
  <w:style w:type="character" w:styleId="687">
    <w:name w:val="WW8Num1z5"/>
    <w:next w:val="687"/>
    <w:link w:val="660"/>
  </w:style>
  <w:style w:type="character" w:styleId="688">
    <w:name w:val="WW8Num1z6"/>
    <w:next w:val="688"/>
    <w:link w:val="660"/>
  </w:style>
  <w:style w:type="character" w:styleId="689">
    <w:name w:val="WW8Num1z7"/>
    <w:next w:val="689"/>
    <w:link w:val="660"/>
  </w:style>
  <w:style w:type="character" w:styleId="690">
    <w:name w:val="WW8Num1z8"/>
    <w:next w:val="690"/>
    <w:link w:val="660"/>
  </w:style>
  <w:style w:type="character" w:styleId="691">
    <w:name w:val="Основной шрифт абзаца12"/>
    <w:next w:val="691"/>
    <w:link w:val="660"/>
  </w:style>
  <w:style w:type="character" w:styleId="692">
    <w:name w:val="WW8Num3z0"/>
    <w:next w:val="692"/>
    <w:link w:val="660"/>
  </w:style>
  <w:style w:type="character" w:styleId="693">
    <w:name w:val="WW8Num3z1"/>
    <w:next w:val="693"/>
    <w:link w:val="660"/>
  </w:style>
  <w:style w:type="character" w:styleId="694">
    <w:name w:val="WW8Num3z2"/>
    <w:next w:val="694"/>
    <w:link w:val="660"/>
  </w:style>
  <w:style w:type="character" w:styleId="695">
    <w:name w:val="WW8Num3z3"/>
    <w:next w:val="695"/>
    <w:link w:val="660"/>
  </w:style>
  <w:style w:type="character" w:styleId="696">
    <w:name w:val="WW8Num3z4"/>
    <w:next w:val="696"/>
    <w:link w:val="660"/>
  </w:style>
  <w:style w:type="character" w:styleId="697">
    <w:name w:val="WW8Num3z5"/>
    <w:next w:val="697"/>
    <w:link w:val="660"/>
  </w:style>
  <w:style w:type="character" w:styleId="698">
    <w:name w:val="WW8Num3z6"/>
    <w:next w:val="698"/>
    <w:link w:val="660"/>
  </w:style>
  <w:style w:type="character" w:styleId="699">
    <w:name w:val="WW8Num3z7"/>
    <w:next w:val="699"/>
    <w:link w:val="660"/>
  </w:style>
  <w:style w:type="character" w:styleId="700">
    <w:name w:val="WW8Num3z8"/>
    <w:next w:val="700"/>
    <w:link w:val="660"/>
  </w:style>
  <w:style w:type="character" w:styleId="701">
    <w:name w:val="WW8Num4z0"/>
    <w:next w:val="701"/>
    <w:link w:val="660"/>
    <w:rPr>
      <w:rFonts w:ascii="Symbol" w:hAnsi="Symbol" w:cs="Symbol"/>
    </w:rPr>
  </w:style>
  <w:style w:type="character" w:styleId="702">
    <w:name w:val="WW8Num4z1"/>
    <w:next w:val="702"/>
    <w:link w:val="660"/>
    <w:rPr>
      <w:rFonts w:ascii="Courier New" w:hAnsi="Courier New" w:cs="Courier New"/>
    </w:rPr>
  </w:style>
  <w:style w:type="character" w:styleId="703">
    <w:name w:val="WW8Num4z2"/>
    <w:next w:val="703"/>
    <w:link w:val="660"/>
    <w:rPr>
      <w:rFonts w:ascii="Wingdings" w:hAnsi="Wingdings" w:cs="Wingdings"/>
    </w:rPr>
  </w:style>
  <w:style w:type="character" w:styleId="704">
    <w:name w:val="WW8Num5z0"/>
    <w:next w:val="704"/>
    <w:link w:val="660"/>
    <w:rPr>
      <w:rFonts w:ascii="Symbol" w:hAnsi="Symbol" w:cs="Symbol"/>
    </w:rPr>
  </w:style>
  <w:style w:type="character" w:styleId="705">
    <w:name w:val="WW8Num5z1"/>
    <w:next w:val="705"/>
    <w:link w:val="660"/>
    <w:rPr>
      <w:rFonts w:ascii="Courier New" w:hAnsi="Courier New" w:cs="Courier New"/>
    </w:rPr>
  </w:style>
  <w:style w:type="character" w:styleId="706">
    <w:name w:val="WW8Num5z2"/>
    <w:next w:val="706"/>
    <w:link w:val="660"/>
    <w:rPr>
      <w:rFonts w:ascii="Wingdings" w:hAnsi="Wingdings" w:cs="Wingdings"/>
    </w:rPr>
  </w:style>
  <w:style w:type="character" w:styleId="707">
    <w:name w:val="Основной шрифт абзаца11"/>
    <w:next w:val="707"/>
    <w:link w:val="660"/>
  </w:style>
  <w:style w:type="character" w:styleId="708">
    <w:name w:val="WW8Num6z0"/>
    <w:next w:val="708"/>
    <w:link w:val="660"/>
    <w:rPr>
      <w:rFonts w:ascii="Symbol" w:hAnsi="Symbol" w:cs="Symbol"/>
      <w:sz w:val="20"/>
    </w:rPr>
  </w:style>
  <w:style w:type="character" w:styleId="709">
    <w:name w:val="WW8Num7z0"/>
    <w:next w:val="709"/>
    <w:link w:val="660"/>
    <w:rPr>
      <w:rFonts w:ascii="Symbol" w:hAnsi="Symbol" w:cs="Symbol"/>
      <w:sz w:val="20"/>
    </w:rPr>
  </w:style>
  <w:style w:type="character" w:styleId="710">
    <w:name w:val="WW8Num7z1"/>
    <w:next w:val="710"/>
    <w:link w:val="660"/>
    <w:rPr>
      <w:rFonts w:ascii="Courier New" w:hAnsi="Courier New" w:cs="Times New Roman"/>
      <w:sz w:val="20"/>
    </w:rPr>
  </w:style>
  <w:style w:type="character" w:styleId="711">
    <w:name w:val="WW8Num7z2"/>
    <w:next w:val="711"/>
    <w:link w:val="660"/>
    <w:rPr>
      <w:rFonts w:ascii="Wingdings" w:hAnsi="Wingdings" w:cs="Wingdings"/>
      <w:sz w:val="20"/>
    </w:rPr>
  </w:style>
  <w:style w:type="character" w:styleId="712">
    <w:name w:val="WW8Num8z0"/>
    <w:next w:val="712"/>
    <w:link w:val="660"/>
    <w:rPr>
      <w:rFonts w:ascii="Symbol" w:hAnsi="Symbol" w:cs="Symbol"/>
    </w:rPr>
  </w:style>
  <w:style w:type="character" w:styleId="713">
    <w:name w:val="WW8Num8z1"/>
    <w:next w:val="713"/>
    <w:link w:val="660"/>
    <w:rPr>
      <w:rFonts w:ascii="Courier New" w:hAnsi="Courier New" w:cs="Courier New"/>
    </w:rPr>
  </w:style>
  <w:style w:type="character" w:styleId="714">
    <w:name w:val="WW8Num8z2"/>
    <w:next w:val="714"/>
    <w:link w:val="660"/>
    <w:rPr>
      <w:rFonts w:ascii="Wingdings" w:hAnsi="Wingdings" w:cs="Wingdings"/>
    </w:rPr>
  </w:style>
  <w:style w:type="character" w:styleId="715">
    <w:name w:val="WW8Num9z0"/>
    <w:next w:val="715"/>
    <w:link w:val="660"/>
    <w:rPr>
      <w:rFonts w:ascii="Symbol" w:hAnsi="Symbol" w:cs="Symbol"/>
    </w:rPr>
  </w:style>
  <w:style w:type="character" w:styleId="716">
    <w:name w:val="WW8Num9z1"/>
    <w:next w:val="716"/>
    <w:link w:val="660"/>
    <w:rPr>
      <w:rFonts w:ascii="Courier New" w:hAnsi="Courier New" w:cs="Courier New"/>
    </w:rPr>
  </w:style>
  <w:style w:type="character" w:styleId="717">
    <w:name w:val="WW8Num9z2"/>
    <w:next w:val="717"/>
    <w:link w:val="660"/>
    <w:rPr>
      <w:rFonts w:ascii="Wingdings" w:hAnsi="Wingdings" w:cs="Wingdings"/>
    </w:rPr>
  </w:style>
  <w:style w:type="character" w:styleId="718">
    <w:name w:val="WW8Num10z0"/>
    <w:next w:val="718"/>
    <w:link w:val="660"/>
    <w:rPr>
      <w:rFonts w:ascii="Symbol" w:hAnsi="Symbol" w:cs="Symbol"/>
      <w:sz w:val="20"/>
    </w:rPr>
  </w:style>
  <w:style w:type="character" w:styleId="719">
    <w:name w:val="WW8Num10z1"/>
    <w:next w:val="719"/>
    <w:link w:val="660"/>
    <w:rPr>
      <w:rFonts w:ascii="Courier New" w:hAnsi="Courier New" w:cs="Times New Roman"/>
      <w:sz w:val="20"/>
    </w:rPr>
  </w:style>
  <w:style w:type="character" w:styleId="720">
    <w:name w:val="WW8Num10z2"/>
    <w:next w:val="720"/>
    <w:link w:val="660"/>
    <w:rPr>
      <w:rFonts w:ascii="Wingdings" w:hAnsi="Wingdings" w:cs="Wingdings"/>
      <w:sz w:val="20"/>
    </w:rPr>
  </w:style>
  <w:style w:type="character" w:styleId="721">
    <w:name w:val="WW8Num11z0"/>
    <w:next w:val="721"/>
    <w:link w:val="660"/>
    <w:rPr>
      <w:rFonts w:ascii="Symbol" w:hAnsi="Symbol" w:cs="Symbol"/>
    </w:rPr>
  </w:style>
  <w:style w:type="character" w:styleId="722">
    <w:name w:val="WW8Num11z1"/>
    <w:next w:val="722"/>
    <w:link w:val="660"/>
    <w:rPr>
      <w:rFonts w:ascii="Courier New" w:hAnsi="Courier New" w:cs="Courier New"/>
    </w:rPr>
  </w:style>
  <w:style w:type="character" w:styleId="723">
    <w:name w:val="WW8Num11z2"/>
    <w:next w:val="723"/>
    <w:link w:val="660"/>
    <w:rPr>
      <w:rFonts w:ascii="Wingdings" w:hAnsi="Wingdings" w:cs="Wingdings"/>
    </w:rPr>
  </w:style>
  <w:style w:type="character" w:styleId="724">
    <w:name w:val="WW8Num12z0"/>
    <w:next w:val="724"/>
    <w:link w:val="660"/>
    <w:rPr>
      <w:rFonts w:ascii="Symbol" w:hAnsi="Symbol" w:cs="Symbol"/>
      <w:sz w:val="20"/>
    </w:rPr>
  </w:style>
  <w:style w:type="character" w:styleId="725">
    <w:name w:val="WW8Num12z1"/>
    <w:next w:val="725"/>
    <w:link w:val="660"/>
    <w:rPr>
      <w:rFonts w:ascii="Courier New" w:hAnsi="Courier New" w:cs="Times New Roman"/>
      <w:sz w:val="20"/>
    </w:rPr>
  </w:style>
  <w:style w:type="character" w:styleId="726">
    <w:name w:val="WW8Num12z2"/>
    <w:next w:val="726"/>
    <w:link w:val="660"/>
    <w:rPr>
      <w:rFonts w:ascii="Wingdings" w:hAnsi="Wingdings" w:cs="Wingdings"/>
      <w:sz w:val="20"/>
    </w:rPr>
  </w:style>
  <w:style w:type="character" w:styleId="727">
    <w:name w:val="WW8Num13z0"/>
    <w:next w:val="727"/>
    <w:link w:val="660"/>
  </w:style>
  <w:style w:type="character" w:styleId="728">
    <w:name w:val="Основной шрифт абзаца10"/>
    <w:next w:val="728"/>
    <w:link w:val="660"/>
  </w:style>
  <w:style w:type="character" w:styleId="729">
    <w:name w:val="Основной шрифт абзаца9"/>
    <w:next w:val="729"/>
    <w:link w:val="660"/>
  </w:style>
  <w:style w:type="character" w:styleId="730">
    <w:name w:val="Основной шрифт абзаца8"/>
    <w:next w:val="730"/>
    <w:link w:val="660"/>
  </w:style>
  <w:style w:type="character" w:styleId="731">
    <w:name w:val="Основной шрифт абзаца7"/>
    <w:next w:val="731"/>
    <w:link w:val="660"/>
  </w:style>
  <w:style w:type="character" w:styleId="732">
    <w:name w:val="Основной шрифт абзаца6"/>
    <w:next w:val="732"/>
    <w:link w:val="660"/>
  </w:style>
  <w:style w:type="character" w:styleId="733">
    <w:name w:val="Основной шрифт абзаца5"/>
    <w:next w:val="733"/>
    <w:link w:val="660"/>
  </w:style>
  <w:style w:type="character" w:styleId="734">
    <w:name w:val="Основной шрифт абзаца4"/>
    <w:next w:val="734"/>
    <w:link w:val="660"/>
  </w:style>
  <w:style w:type="character" w:styleId="735">
    <w:name w:val="Основной шрифт абзаца3"/>
    <w:next w:val="735"/>
    <w:link w:val="660"/>
  </w:style>
  <w:style w:type="character" w:styleId="736">
    <w:name w:val="Основной шрифт абзаца2"/>
    <w:next w:val="736"/>
    <w:link w:val="660"/>
  </w:style>
  <w:style w:type="character" w:styleId="737">
    <w:name w:val="Основной шрифт абзаца1"/>
    <w:next w:val="737"/>
    <w:link w:val="660"/>
  </w:style>
  <w:style w:type="character" w:styleId="738">
    <w:name w:val="Нет"/>
    <w:next w:val="738"/>
    <w:link w:val="660"/>
  </w:style>
  <w:style w:type="character" w:styleId="739">
    <w:name w:val="Основной текст (2)_"/>
    <w:next w:val="739"/>
    <w:link w:val="660"/>
    <w:rPr>
      <w:rFonts w:ascii="Times New Roman" w:hAnsi="Times New Roman" w:eastAsia="Times New Roman" w:cs="Times New Roman"/>
      <w:b w:val="0"/>
      <w:bCs w:val="0"/>
      <w:i w:val="0"/>
      <w:iCs w:val="0"/>
      <w:caps w:val="0"/>
      <w:smallCaps w:val="0"/>
      <w:strike w:val="0"/>
      <w:sz w:val="28"/>
      <w:szCs w:val="28"/>
      <w:u w:val="none"/>
    </w:rPr>
  </w:style>
  <w:style w:type="character" w:styleId="740">
    <w:name w:val="Знак примечания1"/>
    <w:next w:val="740"/>
    <w:link w:val="660"/>
    <w:rPr>
      <w:sz w:val="16"/>
      <w:szCs w:val="16"/>
    </w:rPr>
  </w:style>
  <w:style w:type="character" w:styleId="741">
    <w:name w:val="Текст примечания Знак"/>
    <w:next w:val="741"/>
    <w:link w:val="660"/>
    <w:rPr>
      <w:rFonts w:eastAsia="Arial Unicode MS" w:cs="Arial Unicode MS"/>
      <w:color w:val="000000"/>
      <w:lang w:eastAsia="zh-CN"/>
    </w:rPr>
  </w:style>
  <w:style w:type="character" w:styleId="742">
    <w:name w:val="Тема примечания Знак"/>
    <w:next w:val="742"/>
    <w:link w:val="660"/>
    <w:rPr>
      <w:rFonts w:eastAsia="Arial Unicode MS" w:cs="Arial Unicode MS"/>
      <w:b/>
      <w:bCs/>
      <w:color w:val="000000"/>
      <w:lang w:eastAsia="zh-CN"/>
    </w:rPr>
  </w:style>
  <w:style w:type="character" w:styleId="743">
    <w:name w:val="Текст выноски Знак"/>
    <w:next w:val="743"/>
    <w:link w:val="660"/>
    <w:rPr>
      <w:rFonts w:ascii="Segoe UI" w:hAnsi="Segoe UI" w:eastAsia="Arial Unicode MS" w:cs="Segoe UI"/>
      <w:color w:val="000000"/>
      <w:sz w:val="18"/>
      <w:szCs w:val="18"/>
      <w:lang w:eastAsia="zh-CN"/>
    </w:rPr>
  </w:style>
  <w:style w:type="character" w:styleId="744">
    <w:name w:val="Знак примечания2"/>
    <w:next w:val="744"/>
    <w:link w:val="660"/>
    <w:rPr>
      <w:sz w:val="16"/>
      <w:szCs w:val="16"/>
    </w:rPr>
  </w:style>
  <w:style w:type="character" w:styleId="745">
    <w:name w:val="Текст примечания Знак1"/>
    <w:next w:val="745"/>
    <w:link w:val="660"/>
    <w:rPr>
      <w:rFonts w:eastAsia="Arial Unicode MS" w:cs="Arial Unicode MS"/>
      <w:color w:val="000000"/>
      <w:lang w:eastAsia="zh-CN"/>
    </w:rPr>
  </w:style>
  <w:style w:type="character" w:styleId="746">
    <w:name w:val="article_layer__header_date_published"/>
    <w:next w:val="746"/>
    <w:link w:val="660"/>
  </w:style>
  <w:style w:type="character" w:styleId="747">
    <w:name w:val="article_layer__stat_btn"/>
    <w:next w:val="747"/>
    <w:link w:val="660"/>
  </w:style>
  <w:style w:type="character" w:styleId="748">
    <w:name w:val="Основной текст (5)"/>
    <w:next w:val="748"/>
    <w:link w:val="660"/>
    <w:rPr>
      <w:rFonts w:ascii="Times New Roman" w:hAnsi="Times New Roman" w:cs="Times New Roman"/>
      <w:spacing w:val="0"/>
      <w:sz w:val="27"/>
      <w:szCs w:val="27"/>
    </w:rPr>
  </w:style>
  <w:style w:type="character" w:styleId="749">
    <w:name w:val="Текст концевой сноски Знак"/>
    <w:next w:val="749"/>
    <w:link w:val="660"/>
    <w:rPr>
      <w:rFonts w:eastAsia="Arial Unicode MS" w:cs="Arial Unicode MS"/>
      <w:color w:val="000000"/>
      <w:lang w:eastAsia="zh-CN"/>
    </w:rPr>
  </w:style>
  <w:style w:type="character" w:styleId="750">
    <w:name w:val="Символ концевой сноски"/>
    <w:next w:val="750"/>
    <w:link w:val="660"/>
    <w:rPr>
      <w:vertAlign w:val="superscript"/>
    </w:rPr>
  </w:style>
  <w:style w:type="paragraph" w:styleId="751">
    <w:name w:val="Заголовок1"/>
    <w:basedOn w:val="660"/>
    <w:next w:val="674"/>
    <w:link w:val="660"/>
    <w:pPr>
      <w:keepNext/>
      <w:spacing w:before="240" w:after="120"/>
    </w:pPr>
    <w:rPr>
      <w:rFonts w:ascii="PT Sans" w:hAnsi="PT Sans" w:eastAsia="Tahoma" w:cs="Noto Sans Devanagari"/>
      <w:sz w:val="28"/>
      <w:szCs w:val="28"/>
    </w:rPr>
  </w:style>
  <w:style w:type="paragraph" w:styleId="752">
    <w:name w:val="Указатель13"/>
    <w:basedOn w:val="660"/>
    <w:next w:val="752"/>
    <w:link w:val="660"/>
    <w:pPr>
      <w:suppressLineNumbers/>
    </w:pPr>
    <w:rPr>
      <w:rFonts w:cs="Mangal"/>
      <w:lang w:val="en-US" w:eastAsia="en-US" w:bidi="en-US"/>
    </w:rPr>
  </w:style>
  <w:style w:type="paragraph" w:styleId="753">
    <w:name w:val="Название объекта12"/>
    <w:basedOn w:val="660"/>
    <w:next w:val="753"/>
    <w:link w:val="660"/>
    <w:pPr>
      <w:spacing w:before="120" w:after="120"/>
      <w:suppressLineNumbers/>
    </w:pPr>
    <w:rPr>
      <w:rFonts w:ascii="PT Sans" w:hAnsi="PT Sans" w:cs="Noto Sans Devanagari"/>
      <w:i/>
      <w:iCs/>
      <w:sz w:val="24"/>
      <w:szCs w:val="24"/>
    </w:rPr>
  </w:style>
  <w:style w:type="paragraph" w:styleId="754">
    <w:name w:val="Указатель12"/>
    <w:basedOn w:val="660"/>
    <w:next w:val="754"/>
    <w:link w:val="660"/>
    <w:pPr>
      <w:suppressLineNumbers/>
    </w:pPr>
    <w:rPr>
      <w:rFonts w:ascii="PT Sans" w:hAnsi="PT Sans" w:cs="Noto Sans Devanagari"/>
    </w:rPr>
  </w:style>
  <w:style w:type="paragraph" w:styleId="755">
    <w:name w:val="Название объекта11"/>
    <w:basedOn w:val="660"/>
    <w:next w:val="755"/>
    <w:link w:val="660"/>
    <w:pPr>
      <w:spacing w:before="120" w:after="120"/>
      <w:suppressLineNumbers/>
    </w:pPr>
    <w:rPr>
      <w:rFonts w:ascii="PT Astra Serif" w:hAnsi="PT Astra Serif" w:cs="Noto Sans Devanagari"/>
      <w:i/>
      <w:iCs/>
      <w:sz w:val="24"/>
      <w:szCs w:val="24"/>
    </w:rPr>
  </w:style>
  <w:style w:type="paragraph" w:styleId="756">
    <w:name w:val="Указатель11"/>
    <w:basedOn w:val="660"/>
    <w:next w:val="756"/>
    <w:link w:val="660"/>
    <w:pPr>
      <w:suppressLineNumbers/>
    </w:pPr>
    <w:rPr>
      <w:rFonts w:ascii="PT Astra Serif" w:hAnsi="PT Astra Serif" w:cs="Noto Sans Devanagari"/>
    </w:rPr>
  </w:style>
  <w:style w:type="paragraph" w:styleId="757">
    <w:name w:val="Название объекта10"/>
    <w:basedOn w:val="660"/>
    <w:next w:val="757"/>
    <w:link w:val="660"/>
    <w:pPr>
      <w:spacing w:before="120" w:after="120"/>
      <w:suppressLineNumbers/>
    </w:pPr>
    <w:rPr>
      <w:rFonts w:cs="Arial"/>
      <w:i/>
      <w:iCs/>
      <w:sz w:val="24"/>
      <w:szCs w:val="24"/>
    </w:rPr>
  </w:style>
  <w:style w:type="paragraph" w:styleId="758">
    <w:name w:val="Указатель10"/>
    <w:basedOn w:val="660"/>
    <w:next w:val="758"/>
    <w:link w:val="660"/>
    <w:pPr>
      <w:suppressLineNumbers/>
    </w:pPr>
    <w:rPr>
      <w:rFonts w:cs="Arial"/>
    </w:rPr>
  </w:style>
  <w:style w:type="paragraph" w:styleId="759">
    <w:name w:val="Название объекта9"/>
    <w:basedOn w:val="660"/>
    <w:next w:val="759"/>
    <w:link w:val="660"/>
    <w:pPr>
      <w:spacing w:before="120" w:after="120"/>
      <w:suppressLineNumbers/>
    </w:pPr>
    <w:rPr>
      <w:rFonts w:cs="Lucida Sans"/>
      <w:i/>
      <w:iCs/>
      <w:sz w:val="24"/>
      <w:szCs w:val="24"/>
    </w:rPr>
  </w:style>
  <w:style w:type="paragraph" w:styleId="760">
    <w:name w:val="Указатель9"/>
    <w:basedOn w:val="660"/>
    <w:next w:val="760"/>
    <w:link w:val="660"/>
    <w:pPr>
      <w:suppressLineNumbers/>
    </w:pPr>
    <w:rPr>
      <w:rFonts w:cs="Lucida Sans"/>
    </w:rPr>
  </w:style>
  <w:style w:type="paragraph" w:styleId="761">
    <w:name w:val="Название объекта8"/>
    <w:basedOn w:val="660"/>
    <w:next w:val="761"/>
    <w:link w:val="660"/>
    <w:pPr>
      <w:spacing w:before="120" w:after="120"/>
      <w:suppressLineNumbers/>
    </w:pPr>
    <w:rPr>
      <w:rFonts w:cs="Arial"/>
      <w:i/>
      <w:iCs/>
      <w:sz w:val="24"/>
      <w:szCs w:val="24"/>
    </w:rPr>
  </w:style>
  <w:style w:type="paragraph" w:styleId="762">
    <w:name w:val="Указатель8"/>
    <w:basedOn w:val="660"/>
    <w:next w:val="762"/>
    <w:link w:val="660"/>
    <w:pPr>
      <w:suppressLineNumbers/>
    </w:pPr>
    <w:rPr>
      <w:rFonts w:cs="Arial"/>
    </w:rPr>
  </w:style>
  <w:style w:type="paragraph" w:styleId="763">
    <w:name w:val="Название объекта7"/>
    <w:basedOn w:val="660"/>
    <w:next w:val="763"/>
    <w:link w:val="660"/>
    <w:pPr>
      <w:spacing w:before="120" w:after="120"/>
      <w:suppressLineNumbers/>
    </w:pPr>
    <w:rPr>
      <w:rFonts w:cs="Lucida Sans"/>
      <w:i/>
      <w:iCs/>
      <w:sz w:val="24"/>
      <w:szCs w:val="24"/>
    </w:rPr>
  </w:style>
  <w:style w:type="paragraph" w:styleId="764">
    <w:name w:val="Указатель7"/>
    <w:basedOn w:val="660"/>
    <w:next w:val="764"/>
    <w:link w:val="660"/>
    <w:pPr>
      <w:suppressLineNumbers/>
    </w:pPr>
    <w:rPr>
      <w:rFonts w:cs="Lucida Sans"/>
    </w:rPr>
  </w:style>
  <w:style w:type="paragraph" w:styleId="765">
    <w:name w:val="Название объекта6"/>
    <w:basedOn w:val="660"/>
    <w:next w:val="765"/>
    <w:link w:val="660"/>
    <w:pPr>
      <w:spacing w:before="120" w:after="120"/>
      <w:suppressLineNumbers/>
    </w:pPr>
    <w:rPr>
      <w:rFonts w:cs="Lucida Sans"/>
      <w:i/>
      <w:iCs/>
      <w:sz w:val="24"/>
      <w:szCs w:val="24"/>
    </w:rPr>
  </w:style>
  <w:style w:type="paragraph" w:styleId="766">
    <w:name w:val="Указатель6"/>
    <w:basedOn w:val="660"/>
    <w:next w:val="766"/>
    <w:link w:val="660"/>
    <w:pPr>
      <w:suppressLineNumbers/>
    </w:pPr>
    <w:rPr>
      <w:rFonts w:cs="Lucida Sans"/>
    </w:rPr>
  </w:style>
  <w:style w:type="paragraph" w:styleId="767">
    <w:name w:val="Название объекта5"/>
    <w:basedOn w:val="660"/>
    <w:next w:val="767"/>
    <w:link w:val="660"/>
    <w:pPr>
      <w:spacing w:before="120" w:after="120"/>
      <w:suppressLineNumbers/>
    </w:pPr>
    <w:rPr>
      <w:rFonts w:cs="Lucida Sans"/>
      <w:i/>
      <w:iCs/>
      <w:sz w:val="24"/>
      <w:szCs w:val="24"/>
    </w:rPr>
  </w:style>
  <w:style w:type="paragraph" w:styleId="768">
    <w:name w:val="Указатель5"/>
    <w:basedOn w:val="660"/>
    <w:next w:val="768"/>
    <w:link w:val="660"/>
    <w:pPr>
      <w:suppressLineNumbers/>
    </w:pPr>
    <w:rPr>
      <w:rFonts w:cs="Lucida Sans"/>
    </w:rPr>
  </w:style>
  <w:style w:type="paragraph" w:styleId="769">
    <w:name w:val="Название объекта4"/>
    <w:basedOn w:val="660"/>
    <w:next w:val="769"/>
    <w:link w:val="660"/>
    <w:pPr>
      <w:spacing w:before="120" w:after="120"/>
      <w:suppressLineNumbers/>
    </w:pPr>
    <w:rPr>
      <w:rFonts w:cs="Lucida Sans"/>
      <w:i/>
      <w:iCs/>
      <w:sz w:val="24"/>
      <w:szCs w:val="24"/>
    </w:rPr>
  </w:style>
  <w:style w:type="paragraph" w:styleId="770">
    <w:name w:val="Указатель4"/>
    <w:basedOn w:val="660"/>
    <w:next w:val="770"/>
    <w:link w:val="660"/>
    <w:pPr>
      <w:suppressLineNumbers/>
    </w:pPr>
    <w:rPr>
      <w:rFonts w:cs="Lucida Sans"/>
    </w:rPr>
  </w:style>
  <w:style w:type="paragraph" w:styleId="771">
    <w:name w:val="Название объекта3"/>
    <w:basedOn w:val="660"/>
    <w:next w:val="771"/>
    <w:link w:val="660"/>
    <w:pPr>
      <w:spacing w:before="120" w:after="120"/>
      <w:suppressLineNumbers/>
    </w:pPr>
    <w:rPr>
      <w:rFonts w:cs="Lucida Sans"/>
      <w:i/>
      <w:iCs/>
      <w:sz w:val="24"/>
      <w:szCs w:val="24"/>
    </w:rPr>
  </w:style>
  <w:style w:type="paragraph" w:styleId="772">
    <w:name w:val="Указатель3"/>
    <w:basedOn w:val="660"/>
    <w:next w:val="772"/>
    <w:link w:val="660"/>
    <w:pPr>
      <w:suppressLineNumbers/>
    </w:pPr>
    <w:rPr>
      <w:rFonts w:cs="Lucida Sans"/>
    </w:rPr>
  </w:style>
  <w:style w:type="paragraph" w:styleId="773">
    <w:name w:val="Название объекта2"/>
    <w:basedOn w:val="660"/>
    <w:next w:val="773"/>
    <w:link w:val="660"/>
    <w:pPr>
      <w:spacing w:before="120" w:after="120"/>
      <w:suppressLineNumbers/>
    </w:pPr>
    <w:rPr>
      <w:rFonts w:cs="Lucida Sans"/>
      <w:i/>
      <w:iCs/>
      <w:sz w:val="24"/>
      <w:szCs w:val="24"/>
    </w:rPr>
  </w:style>
  <w:style w:type="paragraph" w:styleId="774">
    <w:name w:val="Указатель2"/>
    <w:basedOn w:val="660"/>
    <w:next w:val="774"/>
    <w:link w:val="660"/>
    <w:pPr>
      <w:suppressLineNumbers/>
    </w:pPr>
    <w:rPr>
      <w:rFonts w:cs="Lucida Sans"/>
    </w:rPr>
  </w:style>
  <w:style w:type="paragraph" w:styleId="775">
    <w:name w:val="Название объекта1"/>
    <w:basedOn w:val="660"/>
    <w:next w:val="775"/>
    <w:link w:val="660"/>
    <w:pPr>
      <w:spacing w:before="120" w:after="120"/>
      <w:suppressLineNumbers/>
    </w:pPr>
    <w:rPr>
      <w:rFonts w:ascii="PT Sans" w:hAnsi="PT Sans" w:cs="Noto Sans Devanagari"/>
      <w:i/>
      <w:iCs/>
      <w:sz w:val="24"/>
      <w:szCs w:val="24"/>
    </w:rPr>
  </w:style>
  <w:style w:type="paragraph" w:styleId="776">
    <w:name w:val="Указатель1"/>
    <w:basedOn w:val="660"/>
    <w:next w:val="776"/>
    <w:link w:val="660"/>
    <w:pPr>
      <w:suppressLineNumbers/>
    </w:pPr>
    <w:rPr>
      <w:rFonts w:ascii="PT Sans" w:hAnsi="PT Sans" w:cs="Noto Sans Devanagari"/>
    </w:rPr>
  </w:style>
  <w:style w:type="paragraph" w:styleId="777">
    <w:name w:val="Верхн./нижн. кол."/>
    <w:next w:val="777"/>
    <w:link w:val="660"/>
    <w:pPr>
      <w:tabs>
        <w:tab w:val="right" w:pos="9020" w:leader="none"/>
      </w:tabs>
    </w:pPr>
    <w:rPr>
      <w:rFonts w:ascii="Helvetica Neue" w:hAnsi="Helvetica Neue" w:eastAsia="Arial Unicode MS" w:cs="Arial Unicode MS"/>
      <w:color w:val="000000"/>
      <w:sz w:val="24"/>
      <w:szCs w:val="24"/>
      <w:lang w:val="ru-RU" w:eastAsia="zh-CN" w:bidi="ar-SA"/>
    </w:rPr>
  </w:style>
  <w:style w:type="paragraph" w:styleId="778">
    <w:name w:val="Body Text"/>
    <w:next w:val="778"/>
    <w:link w:val="660"/>
    <w:pPr>
      <w:spacing w:after="140" w:line="288" w:lineRule="auto"/>
    </w:pPr>
    <w:rPr>
      <w:color w:val="000000"/>
      <w:sz w:val="24"/>
      <w:szCs w:val="24"/>
      <w:lang w:val="ru-RU" w:eastAsia="zh-CN" w:bidi="ar-SA"/>
    </w:rPr>
  </w:style>
  <w:style w:type="paragraph" w:styleId="779">
    <w:name w:val="Обычный (веб)1"/>
    <w:next w:val="779"/>
    <w:link w:val="660"/>
    <w:pPr>
      <w:spacing w:after="96" w:line="252" w:lineRule="auto"/>
    </w:pPr>
    <w:rPr>
      <w:rFonts w:ascii="Calibri" w:hAnsi="Calibri" w:eastAsia="Calibri" w:cs="Calibri"/>
      <w:color w:val="00000a"/>
      <w:sz w:val="22"/>
      <w:szCs w:val="22"/>
      <w:lang w:val="ru-RU" w:eastAsia="zh-CN" w:bidi="ar-SA"/>
    </w:rPr>
  </w:style>
  <w:style w:type="paragraph" w:styleId="780">
    <w:name w:val="Колонтитул"/>
    <w:basedOn w:val="660"/>
    <w:next w:val="780"/>
    <w:link w:val="660"/>
    <w:pPr>
      <w:tabs>
        <w:tab w:val="center" w:pos="4819" w:leader="none"/>
        <w:tab w:val="right" w:pos="9638" w:leader="none"/>
      </w:tabs>
      <w:suppressLineNumbers/>
    </w:pPr>
  </w:style>
  <w:style w:type="paragraph" w:styleId="781">
    <w:name w:val="Абзац списка"/>
    <w:basedOn w:val="660"/>
    <w:next w:val="781"/>
    <w:link w:val="660"/>
    <w:qFormat/>
    <w:pPr>
      <w:contextualSpacing/>
      <w:ind w:left="720" w:right="0" w:firstLine="0"/>
      <w:spacing w:before="0" w:after="160" w:line="252" w:lineRule="auto"/>
    </w:pPr>
    <w:rPr>
      <w:rFonts w:ascii="Calibri" w:hAnsi="Calibri" w:eastAsia="Calibri" w:cs="Times New Roman"/>
      <w:color w:val="000000"/>
      <w:sz w:val="22"/>
      <w:szCs w:val="22"/>
    </w:rPr>
  </w:style>
  <w:style w:type="paragraph" w:styleId="782">
    <w:name w:val="western"/>
    <w:basedOn w:val="660"/>
    <w:next w:val="782"/>
    <w:link w:val="660"/>
    <w:pPr>
      <w:spacing w:before="100" w:after="142" w:line="288" w:lineRule="auto"/>
    </w:pPr>
    <w:rPr>
      <w:rFonts w:eastAsia="Times New Roman" w:cs="Times New Roman"/>
      <w:color w:val="00000a"/>
    </w:rPr>
  </w:style>
  <w:style w:type="paragraph" w:styleId="783">
    <w:name w:val="Без интервала1"/>
    <w:next w:val="783"/>
    <w:link w:val="660"/>
    <w:rPr>
      <w:rFonts w:ascii="Calibri" w:hAnsi="Calibri" w:cs="Calibri"/>
      <w:sz w:val="22"/>
      <w:szCs w:val="22"/>
      <w:lang w:val="ru-RU" w:eastAsia="zh-CN" w:bidi="ar-SA"/>
    </w:rPr>
  </w:style>
  <w:style w:type="paragraph" w:styleId="784">
    <w:name w:val="ConsPlusNormal"/>
    <w:next w:val="784"/>
    <w:link w:val="660"/>
    <w:pPr>
      <w:widowControl w:val="off"/>
    </w:pPr>
    <w:rPr>
      <w:rFonts w:ascii="Calibri" w:hAnsi="Calibri" w:cs="Calibri"/>
      <w:sz w:val="22"/>
      <w:lang w:val="ru-RU" w:eastAsia="zh-CN" w:bidi="ar-SA"/>
    </w:rPr>
  </w:style>
  <w:style w:type="paragraph" w:styleId="785">
    <w:name w:val="Default"/>
    <w:next w:val="785"/>
    <w:link w:val="660"/>
    <w:rPr>
      <w:rFonts w:ascii="Golos" w:hAnsi="Golos" w:cs="Golos"/>
      <w:color w:val="000000"/>
      <w:sz w:val="24"/>
      <w:szCs w:val="24"/>
      <w:lang w:val="ru-RU" w:eastAsia="zh-CN" w:bidi="ar-SA"/>
    </w:rPr>
  </w:style>
  <w:style w:type="paragraph" w:styleId="786">
    <w:name w:val="Standard"/>
    <w:next w:val="786"/>
    <w:link w:val="660"/>
    <w:pPr>
      <w:spacing w:after="200" w:line="276" w:lineRule="auto"/>
    </w:pPr>
    <w:rPr>
      <w:rFonts w:ascii="Calibri" w:hAnsi="Calibri" w:eastAsia="Calibri" w:cs="Calibri"/>
      <w:sz w:val="22"/>
      <w:szCs w:val="22"/>
      <w:lang w:val="ru-RU" w:eastAsia="zh-CN" w:bidi="ar-SA"/>
    </w:rPr>
  </w:style>
  <w:style w:type="paragraph" w:styleId="787">
    <w:name w:val="Text body"/>
    <w:basedOn w:val="786"/>
    <w:next w:val="787"/>
    <w:link w:val="660"/>
    <w:pPr>
      <w:jc w:val="both"/>
      <w:spacing w:before="0" w:after="0" w:line="240" w:lineRule="auto"/>
      <w:widowControl w:val="off"/>
    </w:pPr>
    <w:rPr>
      <w:rFonts w:ascii="PT Astra Serif" w:hAnsi="PT Astra Serif" w:eastAsia="Source Han Sans CN Regular" w:cs="PT Astra Serif"/>
      <w:sz w:val="28"/>
      <w:szCs w:val="24"/>
    </w:rPr>
  </w:style>
  <w:style w:type="paragraph" w:styleId="788">
    <w:name w:val="Текст примечания2"/>
    <w:basedOn w:val="660"/>
    <w:next w:val="788"/>
    <w:link w:val="660"/>
    <w:rPr>
      <w:rFonts w:cs="Times New Roman"/>
      <w:sz w:val="20"/>
      <w:szCs w:val="20"/>
    </w:rPr>
  </w:style>
  <w:style w:type="paragraph" w:styleId="789">
    <w:name w:val="Содержимое таблицы"/>
    <w:basedOn w:val="660"/>
    <w:next w:val="789"/>
    <w:link w:val="660"/>
    <w:pPr>
      <w:widowControl w:val="off"/>
      <w:suppressLineNumbers/>
    </w:pPr>
    <w:rPr>
      <w:rFonts w:ascii="Liberation Serif" w:hAnsi="Liberation Serif" w:cs="Mangal"/>
      <w:color w:val="00000a"/>
      <w:lang w:bidi="hi-IN"/>
    </w:rPr>
  </w:style>
  <w:style w:type="paragraph" w:styleId="790">
    <w:name w:val="Основной текст с отступом 31"/>
    <w:basedOn w:val="660"/>
    <w:next w:val="790"/>
    <w:link w:val="660"/>
    <w:pPr>
      <w:ind w:left="283" w:right="0" w:firstLine="0"/>
      <w:spacing w:before="0" w:after="120"/>
    </w:pPr>
    <w:rPr>
      <w:rFonts w:eastAsia="Times New Roman" w:cs="Times New Roman"/>
      <w:color w:val="000000"/>
      <w:sz w:val="16"/>
      <w:szCs w:val="16"/>
    </w:rPr>
  </w:style>
  <w:style w:type="paragraph" w:styleId="791">
    <w:name w:val="no-indent"/>
    <w:basedOn w:val="660"/>
    <w:next w:val="791"/>
    <w:link w:val="660"/>
    <w:pPr>
      <w:spacing w:before="100" w:beforeAutospacing="1" w:after="100" w:afterAutospacing="1"/>
    </w:pPr>
  </w:style>
  <w:style w:type="character" w:styleId="792">
    <w:name w:val="Сильное выделение"/>
    <w:next w:val="792"/>
    <w:link w:val="660"/>
    <w:uiPriority w:val="21"/>
    <w:qFormat/>
    <w:rPr>
      <w:i/>
      <w:iCs/>
      <w:color w:val="5b9bd5"/>
    </w:rPr>
  </w:style>
  <w:style w:type="paragraph" w:styleId="793">
    <w:name w:val="z-Начало формы"/>
    <w:basedOn w:val="660"/>
    <w:next w:val="660"/>
    <w:link w:val="794"/>
    <w:uiPriority w:val="99"/>
    <w:unhideWhenUsed/>
    <w:pPr>
      <w:jc w:val="center"/>
      <w:pBdr>
        <w:bottom w:val="single" w:color="000000" w:sz="6" w:space="1"/>
      </w:pBdr>
    </w:pPr>
    <w:rPr>
      <w:rFonts w:ascii="Arial" w:hAnsi="Arial" w:cs="Arial"/>
      <w:vanish/>
      <w:sz w:val="16"/>
      <w:szCs w:val="16"/>
    </w:rPr>
  </w:style>
  <w:style w:type="character" w:styleId="794">
    <w:name w:val="z-Начало формы Знак"/>
    <w:next w:val="794"/>
    <w:link w:val="793"/>
    <w:uiPriority w:val="99"/>
    <w:semiHidden/>
    <w:rPr>
      <w:rFonts w:ascii="Arial" w:hAnsi="Arial" w:cs="Arial"/>
      <w:vanish/>
      <w:sz w:val="16"/>
      <w:szCs w:val="16"/>
    </w:rPr>
  </w:style>
  <w:style w:type="paragraph" w:styleId="795">
    <w:name w:val="z-Конец формы"/>
    <w:basedOn w:val="660"/>
    <w:next w:val="660"/>
    <w:link w:val="796"/>
    <w:uiPriority w:val="99"/>
    <w:unhideWhenUsed/>
    <w:pPr>
      <w:jc w:val="center"/>
      <w:pBdr>
        <w:top w:val="single" w:color="000000" w:sz="6" w:space="1"/>
      </w:pBdr>
    </w:pPr>
    <w:rPr>
      <w:rFonts w:ascii="Arial" w:hAnsi="Arial" w:cs="Arial"/>
      <w:vanish/>
      <w:sz w:val="16"/>
      <w:szCs w:val="16"/>
    </w:rPr>
  </w:style>
  <w:style w:type="character" w:styleId="796">
    <w:name w:val="z-Конец формы Знак"/>
    <w:next w:val="796"/>
    <w:link w:val="795"/>
    <w:uiPriority w:val="99"/>
    <w:semiHidden/>
    <w:rPr>
      <w:rFonts w:ascii="Arial" w:hAnsi="Arial" w:cs="Arial"/>
      <w:vanish/>
      <w:sz w:val="16"/>
      <w:szCs w:val="16"/>
    </w:rPr>
  </w:style>
  <w:style w:type="character" w:styleId="1092" w:default="1">
    <w:name w:val="Default Paragraph Font"/>
    <w:uiPriority w:val="1"/>
    <w:semiHidden/>
    <w:unhideWhenUsed/>
  </w:style>
  <w:style w:type="numbering" w:styleId="1093" w:default="1">
    <w:name w:val="No List"/>
    <w:uiPriority w:val="99"/>
    <w:semiHidden/>
    <w:unhideWhenUsed/>
  </w:style>
  <w:style w:type="table" w:styleId="1094"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"Земельный кодекс Российской Федерации" от 25.10.2001 N 136-ФЗ(ред. от 14.07.2022)</dc:title>
  <dc:creator>Dobriy</dc:creator>
  <cp:revision>9</cp:revision>
  <dcterms:created xsi:type="dcterms:W3CDTF">2024-08-16T10:03:00Z</dcterms:created>
  <dcterms:modified xsi:type="dcterms:W3CDTF">2026-08-26T09:06:30Z</dcterms:modified>
  <cp:version>983040</cp:version>
</cp:coreProperties>
</file>